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D64143">
        <w:rPr>
          <w:rFonts w:ascii="Times New Roman" w:hAnsi="Times New Roman" w:cs="Times New Roman" w:hint="eastAsia"/>
          <w:b/>
          <w:bCs/>
          <w:sz w:val="32"/>
          <w:szCs w:val="32"/>
        </w:rPr>
        <w:t>9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D64143">
        <w:rPr>
          <w:rFonts w:ascii="Times New Roman" w:hAnsi="Times New Roman" w:cs="Times New Roman" w:hint="eastAsia"/>
          <w:b/>
          <w:bCs/>
          <w:sz w:val="32"/>
          <w:szCs w:val="32"/>
        </w:rPr>
        <w:t>13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159B3" w:rsidP="00D6414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D6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面筋塞肉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D64143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五香鸭翅根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64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香酥鱼排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芥蓝炒鸡片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清炒毛白菜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番茄汤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64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咖喱鸡丁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常州豆腐汤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64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盐水基围虾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茭白鸭胗肝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山药木耳汤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星期三）午餐带量食谱及营养计算如下：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土豆鸡块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荠菜银鱼羹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星期四）午餐带量食谱及营养计算如下：</w:t>
      </w:r>
    </w:p>
    <w:tbl>
      <w:tblPr>
        <w:tblW w:w="90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80"/>
        <w:gridCol w:w="778"/>
        <w:gridCol w:w="1389"/>
        <w:gridCol w:w="915"/>
        <w:gridCol w:w="704"/>
        <w:gridCol w:w="597"/>
        <w:gridCol w:w="944"/>
        <w:gridCol w:w="764"/>
        <w:gridCol w:w="956"/>
      </w:tblGrid>
      <w:tr w:rsidR="00265C2D">
        <w:trPr>
          <w:trHeight w:val="6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红烧豆腐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常州豆腐汤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星期五）午餐带量食谱及营养计算如下：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白菜面筋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山药木耳汤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</w:t>
            </w:r>
          </w:p>
        </w:tc>
      </w:tr>
    </w:tbl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星期四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59.1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123.9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星期五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117.8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5.64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平均值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997.6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45.04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33.1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127.98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9.88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5.716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标准参考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C471F2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C471F2">
        <w:rPr>
          <w:rFonts w:ascii="Times New Roman" w:hAnsi="Times New Roman" w:cs="Times New Roman" w:hint="eastAsia"/>
          <w:sz w:val="28"/>
          <w:szCs w:val="28"/>
        </w:rPr>
        <w:t>十二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64143">
        <w:rPr>
          <w:rFonts w:ascii="Times New Roman" w:hAnsi="Times New Roman" w:cs="Times New Roman" w:hint="eastAsia"/>
          <w:sz w:val="28"/>
          <w:szCs w:val="28"/>
        </w:rPr>
        <w:t>九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74" w:rsidRDefault="00636774" w:rsidP="005972C5">
      <w:r>
        <w:separator/>
      </w:r>
    </w:p>
  </w:endnote>
  <w:endnote w:type="continuationSeparator" w:id="0">
    <w:p w:rsidR="00636774" w:rsidRDefault="00636774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74" w:rsidRDefault="00636774" w:rsidP="005972C5">
      <w:r>
        <w:separator/>
      </w:r>
    </w:p>
  </w:footnote>
  <w:footnote w:type="continuationSeparator" w:id="0">
    <w:p w:rsidR="00636774" w:rsidRDefault="00636774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E2870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54E6F"/>
    <w:rsid w:val="004A45E6"/>
    <w:rsid w:val="004E3DAB"/>
    <w:rsid w:val="004F4954"/>
    <w:rsid w:val="00560050"/>
    <w:rsid w:val="005972C5"/>
    <w:rsid w:val="005E30D9"/>
    <w:rsid w:val="00636774"/>
    <w:rsid w:val="006A2027"/>
    <w:rsid w:val="006C0B42"/>
    <w:rsid w:val="006D24E5"/>
    <w:rsid w:val="007444C9"/>
    <w:rsid w:val="007669D4"/>
    <w:rsid w:val="00781C27"/>
    <w:rsid w:val="00783949"/>
    <w:rsid w:val="00892E4E"/>
    <w:rsid w:val="008E64F8"/>
    <w:rsid w:val="008E7494"/>
    <w:rsid w:val="00932F6B"/>
    <w:rsid w:val="00966D80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C219D7"/>
    <w:rsid w:val="00C471F2"/>
    <w:rsid w:val="00C542FE"/>
    <w:rsid w:val="00C71CE1"/>
    <w:rsid w:val="00D159B3"/>
    <w:rsid w:val="00D64143"/>
    <w:rsid w:val="00DB0D5C"/>
    <w:rsid w:val="00DC0D06"/>
    <w:rsid w:val="00DC4891"/>
    <w:rsid w:val="00E016E9"/>
    <w:rsid w:val="00E01C3E"/>
    <w:rsid w:val="00E460FC"/>
    <w:rsid w:val="00E51C75"/>
    <w:rsid w:val="00EB3F40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544</Words>
  <Characters>3106</Characters>
  <Application>Microsoft Office Word</Application>
  <DocSecurity>0</DocSecurity>
  <Lines>25</Lines>
  <Paragraphs>7</Paragraphs>
  <ScaleCrop>false</ScaleCrop>
  <Company>微软中国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2017-04-10T03:04:00Z</cp:lastPrinted>
  <dcterms:created xsi:type="dcterms:W3CDTF">2017-04-07T06:44:00Z</dcterms:created>
  <dcterms:modified xsi:type="dcterms:W3CDTF">2019-12-08T23:25:00Z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