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kern w:val="0"/>
          <w:sz w:val="28"/>
          <w:szCs w:val="28"/>
        </w:rPr>
      </w:pPr>
      <w:r>
        <w:rPr>
          <w:rFonts w:hint="eastAsia" w:ascii="宋体" w:hAnsi="宋体" w:eastAsia="宋体" w:cs="宋体"/>
          <w:b/>
          <w:kern w:val="0"/>
          <w:sz w:val="28"/>
          <w:szCs w:val="28"/>
          <w:lang w:val="en-US" w:eastAsia="zh-CN"/>
        </w:rPr>
        <w:t>区级课题</w:t>
      </w:r>
      <w:r>
        <w:rPr>
          <w:rFonts w:ascii="宋体" w:hAnsi="宋体" w:eastAsia="宋体" w:cs="宋体"/>
          <w:b/>
          <w:kern w:val="0"/>
          <w:sz w:val="28"/>
          <w:szCs w:val="28"/>
        </w:rPr>
        <w:t>“</w:t>
      </w:r>
      <w:r>
        <w:rPr>
          <w:rFonts w:hint="eastAsia"/>
          <w:b/>
          <w:bCs/>
          <w:sz w:val="28"/>
          <w:szCs w:val="28"/>
          <w:u w:val="none"/>
          <w:lang w:eastAsia="zh-CN"/>
        </w:rPr>
        <w:t>小学校园中升旗仪式实效性与艺术性的研究</w:t>
      </w:r>
      <w:r>
        <w:rPr>
          <w:rFonts w:ascii="宋体" w:hAnsi="宋体" w:eastAsia="宋体" w:cs="宋体"/>
          <w:b/>
          <w:kern w:val="0"/>
          <w:sz w:val="28"/>
          <w:szCs w:val="28"/>
        </w:rPr>
        <w:t>”</w:t>
      </w:r>
    </w:p>
    <w:p>
      <w:pPr>
        <w:widowControl/>
        <w:jc w:val="center"/>
        <w:rPr>
          <w:sz w:val="28"/>
          <w:szCs w:val="28"/>
        </w:rPr>
      </w:pPr>
      <w:r>
        <w:rPr>
          <w:rFonts w:ascii="宋体" w:hAnsi="宋体" w:eastAsia="宋体" w:cs="宋体"/>
          <w:b/>
          <w:kern w:val="0"/>
          <w:sz w:val="28"/>
          <w:szCs w:val="28"/>
        </w:rPr>
        <w:t>教师学习反思记载表</w:t>
      </w:r>
    </w:p>
    <w:p>
      <w:pPr>
        <w:widowControl/>
        <w:jc w:val="center"/>
      </w:pPr>
      <w:r>
        <w:rPr>
          <w:rFonts w:ascii="宋体" w:hAnsi="宋体" w:eastAsia="宋体" w:cs="宋体"/>
          <w:kern w:val="0"/>
          <w:sz w:val="24"/>
        </w:rPr>
        <w:t> </w:t>
      </w:r>
    </w:p>
    <w:tbl>
      <w:tblPr>
        <w:tblStyle w:val="2"/>
        <w:tblW w:w="8557" w:type="dxa"/>
        <w:tblInd w:w="0" w:type="dxa"/>
        <w:tblLayout w:type="fixed"/>
        <w:tblCellMar>
          <w:top w:w="0" w:type="dxa"/>
          <w:left w:w="0" w:type="dxa"/>
          <w:bottom w:w="0" w:type="dxa"/>
          <w:right w:w="0" w:type="dxa"/>
        </w:tblCellMar>
      </w:tblPr>
      <w:tblGrid>
        <w:gridCol w:w="1188"/>
        <w:gridCol w:w="1612"/>
        <w:gridCol w:w="1672"/>
        <w:gridCol w:w="1516"/>
        <w:gridCol w:w="1015"/>
        <w:gridCol w:w="1554"/>
      </w:tblGrid>
      <w:tr>
        <w:tblPrEx>
          <w:tblCellMar>
            <w:top w:w="0" w:type="dxa"/>
            <w:left w:w="0" w:type="dxa"/>
            <w:bottom w:w="0" w:type="dxa"/>
            <w:right w:w="0" w:type="dxa"/>
          </w:tblCellMar>
        </w:tblPrEx>
        <w:trPr>
          <w:trHeight w:val="921" w:hRule="atLeast"/>
        </w:trPr>
        <w:tc>
          <w:tcPr>
            <w:tcW w:w="118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ascii="宋体" w:hAnsi="宋体" w:eastAsia="宋体" w:cs="宋体"/>
                <w:kern w:val="0"/>
                <w:sz w:val="28"/>
                <w:szCs w:val="28"/>
              </w:rPr>
              <w:t>教师</w:t>
            </w:r>
          </w:p>
        </w:tc>
        <w:tc>
          <w:tcPr>
            <w:tcW w:w="1612"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4"/>
                <w:lang w:eastAsia="zh-CN"/>
              </w:rPr>
              <w:t>胡泽华</w:t>
            </w:r>
            <w:r>
              <w:rPr>
                <w:rFonts w:ascii="宋体" w:hAnsi="宋体" w:eastAsia="宋体" w:cs="宋体"/>
                <w:kern w:val="0"/>
                <w:sz w:val="24"/>
              </w:rPr>
              <w:t> </w:t>
            </w:r>
          </w:p>
        </w:tc>
        <w:tc>
          <w:tcPr>
            <w:tcW w:w="1672"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left"/>
            </w:pPr>
            <w:r>
              <w:rPr>
                <w:rFonts w:ascii="宋体" w:hAnsi="宋体" w:eastAsia="宋体" w:cs="宋体"/>
                <w:kern w:val="0"/>
                <w:sz w:val="24"/>
              </w:rPr>
              <w:t>所在年级组、任教学科</w:t>
            </w:r>
          </w:p>
        </w:tc>
        <w:tc>
          <w:tcPr>
            <w:tcW w:w="151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both"/>
            </w:pPr>
            <w:r>
              <w:rPr>
                <w:rFonts w:hint="eastAsia"/>
                <w:lang w:val="en-US" w:eastAsia="zh-CN"/>
              </w:rPr>
              <w:t xml:space="preserve"> </w:t>
            </w:r>
            <w:r>
              <w:rPr>
                <w:rFonts w:hint="eastAsia"/>
                <w:sz w:val="24"/>
                <w:szCs w:val="24"/>
                <w:lang w:val="en-US" w:eastAsia="zh-CN"/>
              </w:rPr>
              <w:t xml:space="preserve">  四语</w:t>
            </w:r>
          </w:p>
        </w:tc>
        <w:tc>
          <w:tcPr>
            <w:tcW w:w="101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pPr>
            <w:r>
              <w:rPr>
                <w:rFonts w:ascii="宋体" w:hAnsi="宋体" w:eastAsia="宋体" w:cs="宋体"/>
                <w:kern w:val="0"/>
                <w:sz w:val="28"/>
                <w:szCs w:val="28"/>
              </w:rPr>
              <w:t>时间</w:t>
            </w:r>
          </w:p>
        </w:tc>
        <w:tc>
          <w:tcPr>
            <w:tcW w:w="1554"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default"/>
                <w:lang w:val="en-US"/>
              </w:rPr>
            </w:pPr>
            <w:r>
              <w:rPr>
                <w:rFonts w:hint="eastAsia"/>
                <w:lang w:val="en-US" w:eastAsia="zh-CN"/>
              </w:rPr>
              <w:t>2017.5.16</w:t>
            </w:r>
          </w:p>
        </w:tc>
      </w:tr>
      <w:tr>
        <w:tblPrEx>
          <w:tblCellMar>
            <w:top w:w="0" w:type="dxa"/>
            <w:left w:w="0" w:type="dxa"/>
            <w:bottom w:w="0" w:type="dxa"/>
            <w:right w:w="0" w:type="dxa"/>
          </w:tblCellMar>
        </w:tblPrEx>
        <w:trPr>
          <w:cantSplit/>
          <w:trHeight w:val="881" w:hRule="atLeast"/>
        </w:trPr>
        <w:tc>
          <w:tcPr>
            <w:tcW w:w="1188" w:type="dxa"/>
            <w:tcBorders>
              <w:top w:val="nil"/>
              <w:left w:val="single" w:color="auto" w:sz="8" w:space="0"/>
              <w:bottom w:val="single" w:color="auto" w:sz="8" w:space="0"/>
              <w:right w:val="single" w:color="auto" w:sz="8" w:space="0"/>
            </w:tcBorders>
            <w:noWrap w:val="0"/>
            <w:tcMar>
              <w:top w:w="15" w:type="dxa"/>
              <w:left w:w="15" w:type="dxa"/>
              <w:bottom w:w="15" w:type="dxa"/>
              <w:right w:w="15" w:type="dxa"/>
            </w:tcMar>
            <w:vAlign w:val="center"/>
          </w:tcPr>
          <w:p>
            <w:pPr>
              <w:widowControl/>
              <w:jc w:val="center"/>
              <w:rPr>
                <w:sz w:val="24"/>
                <w:szCs w:val="24"/>
              </w:rPr>
            </w:pPr>
            <w:r>
              <w:rPr>
                <w:rFonts w:ascii="宋体" w:hAnsi="宋体" w:eastAsia="宋体" w:cs="宋体"/>
                <w:kern w:val="0"/>
                <w:sz w:val="24"/>
                <w:szCs w:val="24"/>
              </w:rPr>
              <w:t>文章标题</w:t>
            </w:r>
          </w:p>
        </w:tc>
        <w:tc>
          <w:tcPr>
            <w:tcW w:w="4800" w:type="dxa"/>
            <w:gridSpan w:val="3"/>
            <w:tcBorders>
              <w:top w:val="nil"/>
              <w:left w:val="nil"/>
              <w:bottom w:val="single" w:color="auto" w:sz="8" w:space="0"/>
              <w:right w:val="single" w:color="auto" w:sz="8" w:space="0"/>
            </w:tcBorders>
            <w:noWrap w:val="0"/>
            <w:tcMar>
              <w:top w:w="15" w:type="dxa"/>
              <w:left w:w="15" w:type="dxa"/>
              <w:bottom w:w="15" w:type="dxa"/>
              <w:right w:w="15" w:type="dxa"/>
            </w:tcMar>
            <w:vAlign w:val="center"/>
          </w:tcPr>
          <w:p>
            <w:pPr>
              <w:widowControl/>
              <w:jc w:val="center"/>
              <w:rPr>
                <w:rFonts w:hint="eastAsia" w:eastAsia="宋体"/>
                <w:sz w:val="24"/>
                <w:szCs w:val="24"/>
                <w:lang w:val="en-US" w:eastAsia="zh-CN"/>
              </w:rPr>
            </w:pPr>
            <w:bookmarkStart w:id="0" w:name="_GoBack"/>
            <w:r>
              <w:rPr>
                <w:rFonts w:hint="eastAsia" w:eastAsia="宋体"/>
                <w:sz w:val="24"/>
                <w:szCs w:val="24"/>
                <w:lang w:val="en-US" w:eastAsia="zh-CN"/>
              </w:rPr>
              <w:t xml:space="preserve">运用升旗仪式传播主流价值 </w:t>
            </w:r>
            <w:bookmarkEnd w:id="0"/>
          </w:p>
        </w:tc>
        <w:tc>
          <w:tcPr>
            <w:tcW w:w="1015" w:type="dxa"/>
            <w:tcBorders>
              <w:top w:val="nil"/>
              <w:left w:val="nil"/>
              <w:bottom w:val="single" w:color="auto" w:sz="8" w:space="0"/>
              <w:right w:val="single" w:color="auto" w:sz="8" w:space="0"/>
            </w:tcBorders>
            <w:noWrap w:val="0"/>
            <w:tcMar>
              <w:top w:w="15" w:type="dxa"/>
              <w:left w:w="108" w:type="dxa"/>
              <w:bottom w:w="15" w:type="dxa"/>
              <w:right w:w="108" w:type="dxa"/>
            </w:tcMar>
            <w:vAlign w:val="center"/>
          </w:tcPr>
          <w:p>
            <w:pPr>
              <w:widowControl/>
              <w:jc w:val="center"/>
              <w:rPr>
                <w:sz w:val="24"/>
                <w:szCs w:val="24"/>
              </w:rPr>
            </w:pPr>
            <w:r>
              <w:rPr>
                <w:rFonts w:ascii="宋体" w:hAnsi="宋体" w:eastAsia="宋体" w:cs="宋体"/>
                <w:color w:val="000000"/>
                <w:kern w:val="0"/>
                <w:sz w:val="24"/>
                <w:szCs w:val="24"/>
              </w:rPr>
              <w:t>作者</w:t>
            </w:r>
          </w:p>
        </w:tc>
        <w:tc>
          <w:tcPr>
            <w:tcW w:w="1554" w:type="dxa"/>
            <w:tcBorders>
              <w:top w:val="nil"/>
              <w:left w:val="nil"/>
              <w:bottom w:val="single" w:color="auto" w:sz="8" w:space="0"/>
              <w:right w:val="single" w:color="auto" w:sz="8" w:space="0"/>
            </w:tcBorders>
            <w:noWrap w:val="0"/>
            <w:tcMar>
              <w:top w:w="15" w:type="dxa"/>
              <w:left w:w="15" w:type="dxa"/>
              <w:bottom w:w="15" w:type="dxa"/>
              <w:right w:w="15" w:type="dxa"/>
            </w:tcMar>
            <w:vAlign w:val="center"/>
          </w:tcPr>
          <w:p>
            <w:pPr>
              <w:widowControl/>
              <w:ind w:firstLine="240"/>
              <w:jc w:val="center"/>
            </w:pPr>
            <w:r>
              <w:rPr>
                <w:rFonts w:hint="eastAsia" w:ascii="宋体" w:hAnsi="宋体" w:cs="宋体"/>
                <w:kern w:val="0"/>
                <w:sz w:val="24"/>
                <w:lang w:eastAsia="zh-CN"/>
              </w:rPr>
              <w:t>幸福的树</w:t>
            </w:r>
            <w:r>
              <w:rPr>
                <w:rFonts w:ascii="宋体" w:hAnsi="宋体" w:eastAsia="宋体" w:cs="宋体"/>
                <w:kern w:val="0"/>
                <w:sz w:val="24"/>
              </w:rPr>
              <w:t> </w:t>
            </w:r>
          </w:p>
        </w:tc>
      </w:tr>
      <w:tr>
        <w:tblPrEx>
          <w:tblCellMar>
            <w:top w:w="0" w:type="dxa"/>
            <w:left w:w="0" w:type="dxa"/>
            <w:bottom w:w="0" w:type="dxa"/>
            <w:right w:w="0" w:type="dxa"/>
          </w:tblCellMar>
        </w:tblPrEx>
        <w:trPr>
          <w:cantSplit/>
          <w:trHeight w:val="4635" w:hRule="atLeast"/>
        </w:trPr>
        <w:tc>
          <w:tcPr>
            <w:tcW w:w="1188"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ascii="宋体" w:hAnsi="宋体" w:eastAsia="宋体" w:cs="宋体"/>
                <w:kern w:val="0"/>
                <w:sz w:val="24"/>
              </w:rPr>
              <w:t> </w:t>
            </w:r>
          </w:p>
          <w:p>
            <w:pPr>
              <w:widowControl/>
              <w:jc w:val="center"/>
            </w:pPr>
            <w:r>
              <w:rPr>
                <w:rFonts w:ascii="宋体" w:hAnsi="宋体" w:eastAsia="宋体" w:cs="宋体"/>
                <w:kern w:val="0"/>
                <w:sz w:val="28"/>
                <w:szCs w:val="28"/>
              </w:rPr>
              <w:t>文</w:t>
            </w:r>
          </w:p>
          <w:p>
            <w:pPr>
              <w:widowControl/>
              <w:jc w:val="center"/>
            </w:pPr>
            <w:r>
              <w:rPr>
                <w:rFonts w:ascii="宋体" w:hAnsi="宋体" w:eastAsia="宋体" w:cs="宋体"/>
                <w:kern w:val="0"/>
                <w:sz w:val="28"/>
                <w:szCs w:val="28"/>
              </w:rPr>
              <w:t>章</w:t>
            </w:r>
          </w:p>
          <w:p>
            <w:pPr>
              <w:widowControl/>
              <w:jc w:val="center"/>
            </w:pPr>
            <w:r>
              <w:rPr>
                <w:rFonts w:ascii="宋体" w:hAnsi="宋体" w:eastAsia="宋体" w:cs="宋体"/>
                <w:kern w:val="0"/>
                <w:sz w:val="28"/>
                <w:szCs w:val="28"/>
              </w:rPr>
              <w:t>摘</w:t>
            </w:r>
          </w:p>
          <w:p>
            <w:pPr>
              <w:widowControl/>
              <w:jc w:val="center"/>
            </w:pPr>
            <w:r>
              <w:rPr>
                <w:rFonts w:ascii="宋体" w:hAnsi="宋体" w:eastAsia="宋体" w:cs="宋体"/>
                <w:kern w:val="0"/>
                <w:sz w:val="28"/>
                <w:szCs w:val="28"/>
              </w:rPr>
              <w:t>要</w:t>
            </w:r>
          </w:p>
          <w:p>
            <w:pPr>
              <w:widowControl/>
              <w:jc w:val="center"/>
            </w:pPr>
            <w:r>
              <w:rPr>
                <w:rFonts w:ascii="宋体" w:hAnsi="宋体" w:eastAsia="宋体" w:cs="宋体"/>
                <w:kern w:val="0"/>
                <w:sz w:val="24"/>
              </w:rPr>
              <w:t> </w:t>
            </w:r>
          </w:p>
        </w:tc>
        <w:tc>
          <w:tcPr>
            <w:tcW w:w="7369" w:type="dxa"/>
            <w:gridSpan w:val="5"/>
            <w:tcBorders>
              <w:top w:val="nil"/>
              <w:left w:val="nil"/>
              <w:bottom w:val="single" w:color="auto" w:sz="8" w:space="0"/>
              <w:right w:val="single" w:color="auto" w:sz="8" w:space="0"/>
            </w:tcBorders>
            <w:noWrap w:val="0"/>
            <w:tcMar>
              <w:left w:w="108" w:type="dxa"/>
              <w:right w:w="108" w:type="dxa"/>
            </w:tcMar>
            <w:vAlign w:val="center"/>
          </w:tcPr>
          <w:p>
            <w:pPr>
              <w:widowControl/>
              <w:spacing w:line="460" w:lineRule="atLeast"/>
              <w:jc w:val="left"/>
              <w:rPr>
                <w:rFonts w:hint="eastAsia" w:ascii="宋体" w:hAnsi="宋体" w:eastAsia="宋体" w:cs="宋体"/>
                <w:kern w:val="0"/>
                <w:sz w:val="24"/>
              </w:rPr>
            </w:pPr>
            <w:r>
              <w:rPr>
                <w:rFonts w:ascii="宋体" w:hAnsi="宋体" w:eastAsia="宋体" w:cs="宋体"/>
                <w:kern w:val="0"/>
                <w:sz w:val="24"/>
              </w:rPr>
              <w:t> </w:t>
            </w:r>
            <w:r>
              <w:rPr>
                <w:rFonts w:hint="eastAsia" w:ascii="宋体" w:hAnsi="宋体" w:eastAsia="宋体" w:cs="宋体"/>
                <w:kern w:val="0"/>
                <w:sz w:val="24"/>
              </w:rPr>
              <w:t xml:space="preserve"> </w:t>
            </w:r>
            <w:r>
              <w:rPr>
                <w:rFonts w:hint="eastAsia" w:ascii="宋体" w:hAnsi="宋体" w:cs="宋体"/>
                <w:kern w:val="0"/>
                <w:sz w:val="24"/>
                <w:lang w:val="en-US" w:eastAsia="zh-CN"/>
              </w:rPr>
              <w:t xml:space="preserve"> </w:t>
            </w:r>
            <w:r>
              <w:rPr>
                <w:rFonts w:hint="eastAsia" w:ascii="宋体" w:hAnsi="宋体" w:eastAsia="宋体" w:cs="宋体"/>
                <w:kern w:val="0"/>
                <w:sz w:val="24"/>
              </w:rPr>
              <w:t>陶行知先生曾说过：“教人要从小教起，</w:t>
            </w:r>
            <w:r>
              <w:rPr>
                <w:rFonts w:hint="eastAsia" w:ascii="宋体" w:hAnsi="宋体" w:cs="宋体"/>
                <w:kern w:val="0"/>
                <w:sz w:val="24"/>
                <w:lang w:eastAsia="zh-CN"/>
              </w:rPr>
              <w:t>幼儿</w:t>
            </w:r>
            <w:r>
              <w:rPr>
                <w:rFonts w:hint="eastAsia" w:ascii="宋体" w:hAnsi="宋体" w:eastAsia="宋体" w:cs="宋体"/>
                <w:kern w:val="0"/>
                <w:sz w:val="24"/>
              </w:rPr>
              <w:t>比之幼苗，必须培养得宜，方能发芽滋长。”</w:t>
            </w:r>
          </w:p>
          <w:p>
            <w:pPr>
              <w:widowControl/>
              <w:spacing w:line="460" w:lineRule="atLeast"/>
              <w:ind w:firstLine="480" w:firstLineChars="200"/>
              <w:jc w:val="left"/>
            </w:pPr>
            <w:r>
              <w:rPr>
                <w:rFonts w:hint="eastAsia" w:ascii="宋体" w:hAnsi="宋体" w:eastAsia="宋体" w:cs="宋体"/>
                <w:kern w:val="0"/>
                <w:sz w:val="24"/>
              </w:rPr>
              <w:t>在</w:t>
            </w:r>
            <w:r>
              <w:rPr>
                <w:rFonts w:hint="eastAsia" w:ascii="宋体" w:hAnsi="宋体" w:cs="宋体"/>
                <w:kern w:val="0"/>
                <w:sz w:val="24"/>
                <w:lang w:eastAsia="zh-CN"/>
              </w:rPr>
              <w:t>小学</w:t>
            </w:r>
            <w:r>
              <w:rPr>
                <w:rFonts w:hint="eastAsia" w:ascii="宋体" w:hAnsi="宋体" w:eastAsia="宋体" w:cs="宋体"/>
                <w:kern w:val="0"/>
                <w:sz w:val="24"/>
              </w:rPr>
              <w:t>开展爱国主义教育活动，应根据</w:t>
            </w:r>
            <w:r>
              <w:rPr>
                <w:rFonts w:hint="eastAsia" w:ascii="宋体" w:hAnsi="宋体" w:cs="宋体"/>
                <w:kern w:val="0"/>
                <w:sz w:val="24"/>
                <w:lang w:eastAsia="zh-CN"/>
              </w:rPr>
              <w:t>学生</w:t>
            </w:r>
            <w:r>
              <w:rPr>
                <w:rFonts w:hint="eastAsia" w:ascii="宋体" w:hAnsi="宋体" w:eastAsia="宋体" w:cs="宋体"/>
                <w:kern w:val="0"/>
                <w:sz w:val="24"/>
              </w:rPr>
              <w:t>的认知特点，采用</w:t>
            </w:r>
            <w:r>
              <w:rPr>
                <w:rFonts w:hint="eastAsia" w:ascii="宋体" w:hAnsi="宋体" w:cs="宋体"/>
                <w:kern w:val="0"/>
                <w:sz w:val="24"/>
                <w:lang w:eastAsia="zh-CN"/>
              </w:rPr>
              <w:t>同学们</w:t>
            </w:r>
            <w:r>
              <w:rPr>
                <w:rFonts w:hint="eastAsia" w:ascii="宋体" w:hAnsi="宋体" w:eastAsia="宋体" w:cs="宋体"/>
                <w:kern w:val="0"/>
                <w:sz w:val="24"/>
              </w:rPr>
              <w:t>可接受的方式。把复杂的、抽象的事物转化为简单的、形象具体的东西，才能成为</w:t>
            </w:r>
            <w:r>
              <w:rPr>
                <w:rFonts w:hint="eastAsia" w:ascii="宋体" w:hAnsi="宋体" w:cs="宋体"/>
                <w:kern w:val="0"/>
                <w:sz w:val="24"/>
                <w:lang w:eastAsia="zh-CN"/>
              </w:rPr>
              <w:t>孩子们</w:t>
            </w:r>
            <w:r>
              <w:rPr>
                <w:rFonts w:hint="eastAsia" w:ascii="宋体" w:hAnsi="宋体" w:eastAsia="宋体" w:cs="宋体"/>
                <w:kern w:val="0"/>
                <w:sz w:val="24"/>
              </w:rPr>
              <w:t>可接受的事物。因此，</w:t>
            </w:r>
            <w:r>
              <w:rPr>
                <w:rFonts w:hint="eastAsia" w:ascii="宋体" w:hAnsi="宋体" w:cs="宋体"/>
                <w:kern w:val="0"/>
                <w:sz w:val="24"/>
                <w:lang w:eastAsia="zh-CN"/>
              </w:rPr>
              <w:t>小学</w:t>
            </w:r>
            <w:r>
              <w:rPr>
                <w:rFonts w:hint="eastAsia" w:ascii="宋体" w:hAnsi="宋体" w:eastAsia="宋体" w:cs="宋体"/>
                <w:kern w:val="0"/>
                <w:sz w:val="24"/>
              </w:rPr>
              <w:t>的升旗仪式及其开展的教育活动与既要做到严肃认真，又要生动形象。关键是我们怎样利用升旗仪式去增强</w:t>
            </w:r>
            <w:r>
              <w:rPr>
                <w:rFonts w:hint="eastAsia" w:ascii="宋体" w:hAnsi="宋体" w:cs="宋体"/>
                <w:kern w:val="0"/>
                <w:sz w:val="24"/>
                <w:lang w:eastAsia="zh-CN"/>
              </w:rPr>
              <w:t>同学们的</w:t>
            </w:r>
            <w:r>
              <w:rPr>
                <w:rFonts w:hint="eastAsia" w:ascii="宋体" w:hAnsi="宋体" w:eastAsia="宋体" w:cs="宋体"/>
                <w:kern w:val="0"/>
                <w:sz w:val="24"/>
              </w:rPr>
              <w:t>国旗意识，把爱国主义的教育内容，通过特定的环境、氛围，</w:t>
            </w:r>
            <w:r>
              <w:rPr>
                <w:rFonts w:hint="eastAsia" w:ascii="宋体" w:hAnsi="宋体" w:cs="宋体"/>
                <w:kern w:val="0"/>
                <w:sz w:val="24"/>
                <w:lang w:eastAsia="zh-CN"/>
              </w:rPr>
              <w:t>小学生</w:t>
            </w:r>
            <w:r>
              <w:rPr>
                <w:rFonts w:hint="eastAsia" w:ascii="宋体" w:hAnsi="宋体" w:eastAsia="宋体" w:cs="宋体"/>
                <w:kern w:val="0"/>
                <w:sz w:val="24"/>
              </w:rPr>
              <w:t>可接受的方式去感染</w:t>
            </w:r>
            <w:r>
              <w:rPr>
                <w:rFonts w:hint="eastAsia" w:ascii="宋体" w:hAnsi="宋体" w:cs="宋体"/>
                <w:kern w:val="0"/>
                <w:sz w:val="24"/>
                <w:lang w:eastAsia="zh-CN"/>
              </w:rPr>
              <w:t>他们</w:t>
            </w:r>
            <w:r>
              <w:rPr>
                <w:rFonts w:hint="eastAsia" w:ascii="宋体" w:hAnsi="宋体" w:eastAsia="宋体" w:cs="宋体"/>
                <w:kern w:val="0"/>
                <w:sz w:val="24"/>
              </w:rPr>
              <w:t>，萌发</w:t>
            </w:r>
            <w:r>
              <w:rPr>
                <w:rFonts w:hint="eastAsia" w:ascii="宋体" w:hAnsi="宋体" w:cs="宋体"/>
                <w:kern w:val="0"/>
                <w:sz w:val="24"/>
                <w:lang w:eastAsia="zh-CN"/>
              </w:rPr>
              <w:t>他们</w:t>
            </w:r>
            <w:r>
              <w:rPr>
                <w:rFonts w:hint="eastAsia" w:ascii="宋体" w:hAnsi="宋体" w:eastAsia="宋体" w:cs="宋体"/>
                <w:kern w:val="0"/>
                <w:sz w:val="24"/>
              </w:rPr>
              <w:t>的爱国情感和行为，让</w:t>
            </w:r>
            <w:r>
              <w:rPr>
                <w:rFonts w:hint="eastAsia" w:ascii="宋体" w:hAnsi="宋体" w:cs="宋体"/>
                <w:kern w:val="0"/>
                <w:sz w:val="24"/>
                <w:lang w:eastAsia="zh-CN"/>
              </w:rPr>
              <w:t>他们</w:t>
            </w:r>
            <w:r>
              <w:rPr>
                <w:rFonts w:hint="eastAsia" w:ascii="宋体" w:hAnsi="宋体" w:eastAsia="宋体" w:cs="宋体"/>
                <w:kern w:val="0"/>
                <w:sz w:val="24"/>
              </w:rPr>
              <w:t xml:space="preserve">在活动中潜移默化地接受教育，这才是我们要探索和研究的问题。 </w:t>
            </w:r>
          </w:p>
        </w:tc>
      </w:tr>
      <w:tr>
        <w:tblPrEx>
          <w:tblCellMar>
            <w:top w:w="0" w:type="dxa"/>
            <w:left w:w="0" w:type="dxa"/>
            <w:bottom w:w="0" w:type="dxa"/>
            <w:right w:w="0" w:type="dxa"/>
          </w:tblCellMar>
        </w:tblPrEx>
        <w:trPr>
          <w:cantSplit/>
          <w:trHeight w:val="5226" w:hRule="atLeast"/>
        </w:trPr>
        <w:tc>
          <w:tcPr>
            <w:tcW w:w="1188"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ascii="宋体" w:hAnsi="宋体" w:eastAsia="宋体" w:cs="宋体"/>
                <w:kern w:val="0"/>
                <w:sz w:val="24"/>
              </w:rPr>
              <w:t> </w:t>
            </w:r>
          </w:p>
          <w:p>
            <w:pPr>
              <w:widowControl/>
              <w:jc w:val="center"/>
            </w:pPr>
            <w:r>
              <w:rPr>
                <w:rFonts w:ascii="宋体" w:hAnsi="宋体" w:eastAsia="宋体" w:cs="宋体"/>
                <w:kern w:val="0"/>
                <w:sz w:val="24"/>
              </w:rPr>
              <w:t> </w:t>
            </w:r>
          </w:p>
          <w:p>
            <w:pPr>
              <w:widowControl/>
              <w:jc w:val="center"/>
            </w:pPr>
            <w:r>
              <w:rPr>
                <w:rFonts w:ascii="宋体" w:hAnsi="宋体" w:eastAsia="宋体" w:cs="宋体"/>
                <w:kern w:val="0"/>
                <w:sz w:val="28"/>
                <w:szCs w:val="28"/>
              </w:rPr>
              <w:t>体</w:t>
            </w:r>
          </w:p>
          <w:p>
            <w:pPr>
              <w:widowControl/>
              <w:jc w:val="center"/>
            </w:pPr>
            <w:r>
              <w:rPr>
                <w:rFonts w:ascii="宋体" w:hAnsi="宋体" w:eastAsia="宋体" w:cs="宋体"/>
                <w:kern w:val="0"/>
                <w:sz w:val="28"/>
                <w:szCs w:val="28"/>
              </w:rPr>
              <w:t>会</w:t>
            </w:r>
          </w:p>
          <w:p>
            <w:pPr>
              <w:widowControl/>
              <w:jc w:val="center"/>
            </w:pPr>
            <w:r>
              <w:rPr>
                <w:rFonts w:ascii="宋体" w:hAnsi="宋体" w:eastAsia="宋体" w:cs="宋体"/>
                <w:kern w:val="0"/>
                <w:sz w:val="28"/>
                <w:szCs w:val="28"/>
              </w:rPr>
              <w:t>反</w:t>
            </w:r>
          </w:p>
          <w:p>
            <w:pPr>
              <w:widowControl/>
              <w:jc w:val="center"/>
            </w:pPr>
            <w:r>
              <w:rPr>
                <w:rFonts w:ascii="宋体" w:hAnsi="宋体" w:eastAsia="宋体" w:cs="宋体"/>
                <w:kern w:val="0"/>
                <w:sz w:val="28"/>
                <w:szCs w:val="28"/>
              </w:rPr>
              <w:t>思</w:t>
            </w:r>
          </w:p>
          <w:p>
            <w:pPr>
              <w:widowControl/>
              <w:jc w:val="center"/>
            </w:pPr>
            <w:r>
              <w:rPr>
                <w:rFonts w:ascii="宋体" w:hAnsi="宋体" w:eastAsia="宋体" w:cs="宋体"/>
                <w:kern w:val="0"/>
                <w:sz w:val="24"/>
              </w:rPr>
              <w:t> </w:t>
            </w:r>
          </w:p>
          <w:p>
            <w:pPr>
              <w:widowControl/>
              <w:jc w:val="center"/>
            </w:pPr>
            <w:r>
              <w:rPr>
                <w:rFonts w:ascii="宋体" w:hAnsi="宋体" w:eastAsia="宋体" w:cs="宋体"/>
                <w:kern w:val="0"/>
                <w:sz w:val="24"/>
              </w:rPr>
              <w:t> </w:t>
            </w:r>
          </w:p>
          <w:p>
            <w:pPr>
              <w:widowControl/>
              <w:jc w:val="center"/>
            </w:pPr>
            <w:r>
              <w:rPr>
                <w:rFonts w:ascii="宋体" w:hAnsi="宋体" w:eastAsia="宋体" w:cs="宋体"/>
                <w:kern w:val="0"/>
                <w:sz w:val="24"/>
              </w:rPr>
              <w:t> </w:t>
            </w:r>
          </w:p>
          <w:p>
            <w:pPr>
              <w:widowControl/>
              <w:jc w:val="center"/>
            </w:pPr>
            <w:r>
              <w:rPr>
                <w:rFonts w:ascii="宋体" w:hAnsi="宋体" w:eastAsia="宋体" w:cs="宋体"/>
                <w:kern w:val="0"/>
                <w:sz w:val="24"/>
              </w:rPr>
              <w:t> </w:t>
            </w:r>
          </w:p>
        </w:tc>
        <w:tc>
          <w:tcPr>
            <w:tcW w:w="7369" w:type="dxa"/>
            <w:gridSpan w:val="5"/>
            <w:tcBorders>
              <w:top w:val="nil"/>
              <w:left w:val="nil"/>
              <w:bottom w:val="single" w:color="auto" w:sz="8" w:space="0"/>
              <w:right w:val="single" w:color="auto" w:sz="8" w:space="0"/>
            </w:tcBorders>
            <w:noWrap w:val="0"/>
            <w:tcMar>
              <w:left w:w="108" w:type="dxa"/>
              <w:right w:w="108" w:type="dxa"/>
            </w:tcMar>
            <w:vAlign w:val="center"/>
          </w:tcPr>
          <w:p>
            <w:pPr>
              <w:widowControl/>
              <w:spacing w:line="460" w:lineRule="atLeast"/>
              <w:ind w:firstLine="480" w:firstLineChars="200"/>
              <w:jc w:val="left"/>
              <w:rPr>
                <w:rFonts w:hint="eastAsia" w:eastAsia="宋体"/>
                <w:lang w:val="en-US" w:eastAsia="zh-CN"/>
              </w:rPr>
            </w:pPr>
            <w:r>
              <w:rPr>
                <w:rFonts w:hint="eastAsia"/>
                <w:sz w:val="24"/>
                <w:szCs w:val="24"/>
                <w:lang w:val="en-US" w:eastAsia="zh-CN"/>
              </w:rPr>
              <w:t>习近平主席</w:t>
            </w:r>
            <w:r>
              <w:rPr>
                <w:rFonts w:hint="eastAsia" w:eastAsia="宋体"/>
                <w:sz w:val="24"/>
                <w:szCs w:val="24"/>
                <w:lang w:val="en-US" w:eastAsia="zh-CN"/>
              </w:rPr>
              <w:t>中明确指出，要把爱国主义教育贯穿到育人全过程中。升国旗仪式作为爱国主义教育的重要手段已在许多中小学校广泛采用。</w:t>
            </w:r>
            <w:r>
              <w:rPr>
                <w:rFonts w:hint="eastAsia"/>
                <w:sz w:val="24"/>
                <w:szCs w:val="24"/>
                <w:lang w:val="en-US" w:eastAsia="zh-CN"/>
              </w:rPr>
              <w:t>所以，各个学校</w:t>
            </w:r>
            <w:r>
              <w:rPr>
                <w:rFonts w:hint="eastAsia" w:eastAsia="宋体"/>
                <w:sz w:val="24"/>
                <w:szCs w:val="24"/>
                <w:lang w:val="en-US" w:eastAsia="zh-CN"/>
              </w:rPr>
              <w:t>能否</w:t>
            </w:r>
            <w:r>
              <w:rPr>
                <w:rFonts w:hint="eastAsia"/>
                <w:sz w:val="24"/>
                <w:szCs w:val="24"/>
                <w:lang w:val="en-US" w:eastAsia="zh-CN"/>
              </w:rPr>
              <w:t>隆重</w:t>
            </w:r>
            <w:r>
              <w:rPr>
                <w:rFonts w:hint="eastAsia" w:eastAsia="宋体"/>
                <w:sz w:val="24"/>
                <w:szCs w:val="24"/>
                <w:lang w:val="en-US" w:eastAsia="zh-CN"/>
              </w:rPr>
              <w:t>举行升旗仪式呢？大家会认为，</w:t>
            </w:r>
            <w:r>
              <w:rPr>
                <w:rFonts w:hint="eastAsia"/>
                <w:sz w:val="24"/>
                <w:szCs w:val="24"/>
                <w:lang w:val="en-US" w:eastAsia="zh-CN"/>
              </w:rPr>
              <w:t>小学生</w:t>
            </w:r>
            <w:r>
              <w:rPr>
                <w:rFonts w:hint="eastAsia" w:eastAsia="宋体"/>
                <w:sz w:val="24"/>
                <w:szCs w:val="24"/>
                <w:lang w:val="en-US" w:eastAsia="zh-CN"/>
              </w:rPr>
              <w:t>的思维发展水平低，对抽象的概念和事物理解有困难。</w:t>
            </w:r>
            <w:r>
              <w:rPr>
                <w:rFonts w:hint="eastAsia"/>
                <w:sz w:val="24"/>
                <w:szCs w:val="24"/>
                <w:lang w:val="en-US" w:eastAsia="zh-CN"/>
              </w:rPr>
              <w:t>在小学</w:t>
            </w:r>
            <w:r>
              <w:rPr>
                <w:rFonts w:hint="eastAsia" w:eastAsia="宋体"/>
                <w:sz w:val="24"/>
                <w:szCs w:val="24"/>
                <w:lang w:val="en-US" w:eastAsia="zh-CN"/>
              </w:rPr>
              <w:t>举行升旗仪式效果不大，尤其是升旗仪式和进行爱国主义教育产生疑问。如：国旗是祖国的标志，什么是“祖国”？什么叫“共产党”？这些极其抽象而又深刻的涵义</w:t>
            </w:r>
            <w:r>
              <w:rPr>
                <w:rFonts w:hint="eastAsia"/>
                <w:sz w:val="24"/>
                <w:szCs w:val="24"/>
                <w:lang w:val="en-US" w:eastAsia="zh-CN"/>
              </w:rPr>
              <w:t>同学们</w:t>
            </w:r>
            <w:r>
              <w:rPr>
                <w:rFonts w:hint="eastAsia" w:eastAsia="宋体"/>
                <w:sz w:val="24"/>
                <w:szCs w:val="24"/>
                <w:lang w:val="en-US" w:eastAsia="zh-CN"/>
              </w:rPr>
              <w:t>难以理解。爱国主义教育不是一个短暂的课题。在改革开放的今天，我们更应该把爱国主义教育放在首要阶段，在学前教育阶段，针对</w:t>
            </w:r>
            <w:r>
              <w:rPr>
                <w:rFonts w:hint="eastAsia"/>
                <w:sz w:val="24"/>
                <w:szCs w:val="24"/>
                <w:lang w:val="en-US" w:eastAsia="zh-CN"/>
              </w:rPr>
              <w:t>小学生</w:t>
            </w:r>
            <w:r>
              <w:rPr>
                <w:rFonts w:hint="eastAsia" w:eastAsia="宋体"/>
                <w:sz w:val="24"/>
                <w:szCs w:val="24"/>
                <w:lang w:val="en-US" w:eastAsia="zh-CN"/>
              </w:rPr>
              <w:t xml:space="preserve">的年龄特点和认知规律，为培养跨世纪的一代作出最大的努力。 </w:t>
            </w:r>
          </w:p>
        </w:tc>
      </w:tr>
    </w:tbl>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112B16"/>
    <w:rsid w:val="15112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2019-11-10T09:01:00Z</dcterms:created>
  <dc:creator>愈竹马</dc:creator>
  <cp:lastModifiedBy>愈竹马</cp:lastModifiedBy>
  <dcterms:modified xsi:type="dcterms:W3CDTF">2019-11-10T09:02:03Z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