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rPr>
      </w:pPr>
      <w:r>
        <w:rPr>
          <w:rFonts w:hint="eastAsia" w:ascii="宋体" w:hAnsi="宋体"/>
          <w:b/>
          <w:bCs/>
        </w:rPr>
        <w:t>学生感兴趣的课外阅读内容</w:t>
      </w:r>
    </w:p>
    <w:p>
      <w:pPr>
        <w:spacing w:line="400" w:lineRule="exact"/>
        <w:ind w:firstLine="480"/>
        <w:rPr>
          <w:rFonts w:ascii="宋体" w:hAnsi="宋体"/>
        </w:rPr>
      </w:pPr>
      <w:r>
        <w:rPr>
          <w:rFonts w:hint="eastAsia" w:ascii="宋体" w:hAnsi="宋体"/>
        </w:rPr>
        <w:t>目前我们三年级起步学习英语，所以根据调查中段（三四年级）学生所喜欢的课外读物类型大多是插图和文字比重差不多，甚至插图比重更大一些的轻松趣味性读物。</w:t>
      </w:r>
    </w:p>
    <w:p>
      <w:pPr>
        <w:spacing w:line="400" w:lineRule="exact"/>
        <w:ind w:firstLine="480"/>
        <w:rPr>
          <w:rFonts w:ascii="宋体" w:hAnsi="宋体"/>
        </w:rPr>
      </w:pPr>
      <w:r>
        <w:rPr>
          <w:rFonts w:hint="eastAsia" w:ascii="宋体" w:hAnsi="宋体"/>
        </w:rPr>
        <w:t>根据我们对高段（五六年级）的调查显示如下：</w:t>
      </w:r>
    </w:p>
    <w:p>
      <w:pPr>
        <w:spacing w:line="400" w:lineRule="exact"/>
        <w:ind w:firstLine="480"/>
        <w:jc w:val="center"/>
        <w:rPr>
          <w:rFonts w:ascii="宋体" w:hAnsi="宋体" w:cs="宋体"/>
          <w:bCs/>
        </w:rPr>
      </w:pPr>
      <w:r>
        <w:rPr>
          <w:rFonts w:hint="eastAsia" w:ascii="宋体" w:hAnsi="宋体" w:cs="宋体"/>
          <w:bCs/>
        </w:rPr>
        <w:t>关于喜欢英文阅读的课外书类型的统计表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22" w:type="dxa"/>
            <w:gridSpan w:val="6"/>
            <w:noWrap w:val="0"/>
            <w:vAlign w:val="center"/>
          </w:tcPr>
          <w:p>
            <w:pPr>
              <w:spacing w:line="400" w:lineRule="exact"/>
              <w:ind w:firstLine="480"/>
              <w:jc w:val="center"/>
              <w:rPr>
                <w:rFonts w:ascii="宋体" w:hAnsi="宋体"/>
              </w:rPr>
            </w:pPr>
            <w:r>
              <w:rPr>
                <w:rFonts w:hint="eastAsia" w:ascii="宋体" w:hAnsi="宋体"/>
              </w:rPr>
              <w:t>喜欢英文阅读的课外书类型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20" w:type="dxa"/>
            <w:noWrap w:val="0"/>
            <w:vAlign w:val="center"/>
          </w:tcPr>
          <w:p>
            <w:pPr>
              <w:spacing w:line="400" w:lineRule="exact"/>
              <w:ind w:firstLine="480"/>
              <w:jc w:val="center"/>
              <w:rPr>
                <w:rFonts w:ascii="宋体" w:hAnsi="宋体"/>
              </w:rPr>
            </w:pPr>
            <w:r>
              <w:rPr>
                <w:rFonts w:hint="eastAsia" w:ascii="宋体" w:hAnsi="宋体"/>
              </w:rPr>
              <w:t>故事类</w:t>
            </w:r>
          </w:p>
        </w:tc>
        <w:tc>
          <w:tcPr>
            <w:tcW w:w="1420" w:type="dxa"/>
            <w:noWrap w:val="0"/>
            <w:vAlign w:val="center"/>
          </w:tcPr>
          <w:p>
            <w:pPr>
              <w:spacing w:line="400" w:lineRule="exact"/>
              <w:ind w:firstLine="480"/>
              <w:jc w:val="center"/>
              <w:rPr>
                <w:rFonts w:ascii="宋体" w:hAnsi="宋体"/>
              </w:rPr>
            </w:pPr>
            <w:r>
              <w:rPr>
                <w:rFonts w:hint="eastAsia" w:ascii="宋体" w:hAnsi="宋体"/>
              </w:rPr>
              <w:t>科普类</w:t>
            </w:r>
          </w:p>
        </w:tc>
        <w:tc>
          <w:tcPr>
            <w:tcW w:w="1421" w:type="dxa"/>
            <w:noWrap w:val="0"/>
            <w:vAlign w:val="center"/>
          </w:tcPr>
          <w:p>
            <w:pPr>
              <w:spacing w:line="400" w:lineRule="exact"/>
              <w:ind w:firstLine="480"/>
              <w:jc w:val="center"/>
              <w:rPr>
                <w:rFonts w:ascii="宋体" w:hAnsi="宋体"/>
              </w:rPr>
            </w:pPr>
            <w:r>
              <w:rPr>
                <w:rFonts w:hint="eastAsia" w:ascii="宋体" w:hAnsi="宋体"/>
              </w:rPr>
              <w:t>漫画卡通类</w:t>
            </w:r>
          </w:p>
        </w:tc>
        <w:tc>
          <w:tcPr>
            <w:tcW w:w="1420" w:type="dxa"/>
            <w:noWrap w:val="0"/>
            <w:vAlign w:val="center"/>
          </w:tcPr>
          <w:p>
            <w:pPr>
              <w:spacing w:line="400" w:lineRule="exact"/>
              <w:ind w:firstLine="480"/>
              <w:jc w:val="center"/>
              <w:rPr>
                <w:rFonts w:ascii="宋体" w:hAnsi="宋体"/>
              </w:rPr>
            </w:pPr>
            <w:r>
              <w:rPr>
                <w:rFonts w:hint="eastAsia" w:ascii="宋体" w:hAnsi="宋体"/>
              </w:rPr>
              <w:t>课本类</w:t>
            </w:r>
          </w:p>
        </w:tc>
        <w:tc>
          <w:tcPr>
            <w:tcW w:w="1420" w:type="dxa"/>
            <w:noWrap w:val="0"/>
            <w:vAlign w:val="center"/>
          </w:tcPr>
          <w:p>
            <w:pPr>
              <w:spacing w:line="400" w:lineRule="exact"/>
              <w:ind w:firstLine="480"/>
              <w:jc w:val="center"/>
              <w:rPr>
                <w:rFonts w:ascii="宋体" w:hAnsi="宋体"/>
              </w:rPr>
            </w:pPr>
            <w:r>
              <w:rPr>
                <w:rFonts w:hint="eastAsia" w:ascii="宋体" w:hAnsi="宋体"/>
              </w:rPr>
              <w:t>学习辅导类</w:t>
            </w:r>
          </w:p>
        </w:tc>
        <w:tc>
          <w:tcPr>
            <w:tcW w:w="1421" w:type="dxa"/>
            <w:noWrap w:val="0"/>
            <w:vAlign w:val="center"/>
          </w:tcPr>
          <w:p>
            <w:pPr>
              <w:spacing w:line="400" w:lineRule="exact"/>
              <w:ind w:firstLine="480"/>
              <w:jc w:val="center"/>
              <w:rPr>
                <w:rFonts w:ascii="宋体" w:hAnsi="宋体"/>
              </w:rPr>
            </w:pPr>
            <w:r>
              <w:rPr>
                <w:rFonts w:hint="eastAsia" w:ascii="宋体" w:hAnsi="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20" w:type="dxa"/>
            <w:noWrap w:val="0"/>
            <w:vAlign w:val="center"/>
          </w:tcPr>
          <w:p>
            <w:pPr>
              <w:spacing w:line="400" w:lineRule="exact"/>
              <w:ind w:firstLine="480"/>
              <w:jc w:val="center"/>
              <w:rPr>
                <w:rFonts w:ascii="宋体" w:hAnsi="宋体"/>
              </w:rPr>
            </w:pPr>
            <w:r>
              <w:rPr>
                <w:rFonts w:hint="eastAsia" w:ascii="宋体" w:hAnsi="宋体"/>
              </w:rPr>
              <w:t>4</w:t>
            </w:r>
            <w:r>
              <w:rPr>
                <w:rFonts w:ascii="宋体" w:hAnsi="宋体"/>
              </w:rPr>
              <w:t>5</w:t>
            </w:r>
          </w:p>
        </w:tc>
        <w:tc>
          <w:tcPr>
            <w:tcW w:w="1420" w:type="dxa"/>
            <w:noWrap w:val="0"/>
            <w:vAlign w:val="center"/>
          </w:tcPr>
          <w:p>
            <w:pPr>
              <w:spacing w:line="400" w:lineRule="exact"/>
              <w:ind w:firstLine="480"/>
              <w:jc w:val="center"/>
              <w:rPr>
                <w:rFonts w:ascii="宋体" w:hAnsi="宋体"/>
              </w:rPr>
            </w:pPr>
            <w:r>
              <w:rPr>
                <w:rFonts w:hint="eastAsia" w:ascii="宋体" w:hAnsi="宋体"/>
              </w:rPr>
              <w:t>3</w:t>
            </w:r>
            <w:r>
              <w:rPr>
                <w:rFonts w:ascii="宋体" w:hAnsi="宋体"/>
              </w:rPr>
              <w:t>8</w:t>
            </w:r>
          </w:p>
        </w:tc>
        <w:tc>
          <w:tcPr>
            <w:tcW w:w="1421" w:type="dxa"/>
            <w:noWrap w:val="0"/>
            <w:vAlign w:val="center"/>
          </w:tcPr>
          <w:p>
            <w:pPr>
              <w:spacing w:line="400" w:lineRule="exact"/>
              <w:ind w:firstLine="480"/>
              <w:jc w:val="center"/>
              <w:rPr>
                <w:rFonts w:ascii="宋体" w:hAnsi="宋体"/>
              </w:rPr>
            </w:pPr>
            <w:r>
              <w:rPr>
                <w:rFonts w:ascii="宋体" w:hAnsi="宋体"/>
              </w:rPr>
              <w:t>75</w:t>
            </w:r>
          </w:p>
        </w:tc>
        <w:tc>
          <w:tcPr>
            <w:tcW w:w="1420" w:type="dxa"/>
            <w:noWrap w:val="0"/>
            <w:vAlign w:val="center"/>
          </w:tcPr>
          <w:p>
            <w:pPr>
              <w:spacing w:line="400" w:lineRule="exact"/>
              <w:ind w:firstLine="480"/>
              <w:jc w:val="center"/>
              <w:rPr>
                <w:rFonts w:ascii="宋体" w:hAnsi="宋体"/>
              </w:rPr>
            </w:pPr>
            <w:r>
              <w:rPr>
                <w:rFonts w:hint="eastAsia" w:ascii="宋体" w:hAnsi="宋体"/>
              </w:rPr>
              <w:t>1</w:t>
            </w:r>
            <w:r>
              <w:rPr>
                <w:rFonts w:ascii="宋体" w:hAnsi="宋体"/>
              </w:rPr>
              <w:t>9</w:t>
            </w:r>
          </w:p>
        </w:tc>
        <w:tc>
          <w:tcPr>
            <w:tcW w:w="1420" w:type="dxa"/>
            <w:noWrap w:val="0"/>
            <w:vAlign w:val="center"/>
          </w:tcPr>
          <w:p>
            <w:pPr>
              <w:spacing w:line="400" w:lineRule="exact"/>
              <w:ind w:firstLine="480"/>
              <w:jc w:val="center"/>
              <w:rPr>
                <w:rFonts w:ascii="宋体" w:hAnsi="宋体"/>
              </w:rPr>
            </w:pPr>
            <w:r>
              <w:rPr>
                <w:rFonts w:hint="eastAsia" w:ascii="宋体" w:hAnsi="宋体"/>
              </w:rPr>
              <w:t>2</w:t>
            </w:r>
            <w:r>
              <w:rPr>
                <w:rFonts w:ascii="宋体" w:hAnsi="宋体"/>
              </w:rPr>
              <w:t>5</w:t>
            </w:r>
          </w:p>
        </w:tc>
        <w:tc>
          <w:tcPr>
            <w:tcW w:w="1421" w:type="dxa"/>
            <w:noWrap w:val="0"/>
            <w:vAlign w:val="center"/>
          </w:tcPr>
          <w:p>
            <w:pPr>
              <w:spacing w:line="400" w:lineRule="exact"/>
              <w:ind w:firstLine="480"/>
              <w:jc w:val="center"/>
              <w:rPr>
                <w:rFonts w:ascii="宋体" w:hAnsi="宋体"/>
              </w:rPr>
            </w:pPr>
            <w:r>
              <w:rPr>
                <w:rFonts w:hint="eastAsia" w:ascii="宋体" w:hAnsi="宋体"/>
              </w:rPr>
              <w:t>1</w:t>
            </w:r>
            <w:r>
              <w:rPr>
                <w:rFonts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20" w:type="dxa"/>
            <w:noWrap w:val="0"/>
            <w:vAlign w:val="center"/>
          </w:tcPr>
          <w:p>
            <w:pPr>
              <w:spacing w:line="400" w:lineRule="exact"/>
              <w:ind w:firstLine="480"/>
              <w:jc w:val="center"/>
              <w:rPr>
                <w:rFonts w:ascii="宋体" w:hAnsi="宋体"/>
              </w:rPr>
            </w:pPr>
            <w:r>
              <w:rPr>
                <w:rFonts w:hint="eastAsia" w:ascii="宋体" w:hAnsi="宋体"/>
              </w:rPr>
              <w:t>2</w:t>
            </w:r>
            <w:r>
              <w:rPr>
                <w:rFonts w:ascii="宋体" w:hAnsi="宋体"/>
              </w:rPr>
              <w:t>1.2</w:t>
            </w:r>
            <w:r>
              <w:rPr>
                <w:rFonts w:hint="eastAsia" w:ascii="宋体" w:hAnsi="宋体"/>
              </w:rPr>
              <w:t>%</w:t>
            </w:r>
          </w:p>
        </w:tc>
        <w:tc>
          <w:tcPr>
            <w:tcW w:w="1420" w:type="dxa"/>
            <w:noWrap w:val="0"/>
            <w:vAlign w:val="center"/>
          </w:tcPr>
          <w:p>
            <w:pPr>
              <w:spacing w:line="400" w:lineRule="exact"/>
              <w:ind w:firstLine="480"/>
              <w:jc w:val="center"/>
              <w:rPr>
                <w:rFonts w:ascii="宋体" w:hAnsi="宋体"/>
              </w:rPr>
            </w:pPr>
            <w:r>
              <w:rPr>
                <w:rFonts w:ascii="宋体" w:hAnsi="宋体"/>
              </w:rPr>
              <w:t>17.9</w:t>
            </w:r>
            <w:r>
              <w:rPr>
                <w:rFonts w:hint="eastAsia" w:ascii="宋体" w:hAnsi="宋体"/>
              </w:rPr>
              <w:t>%</w:t>
            </w:r>
          </w:p>
        </w:tc>
        <w:tc>
          <w:tcPr>
            <w:tcW w:w="1421" w:type="dxa"/>
            <w:noWrap w:val="0"/>
            <w:vAlign w:val="center"/>
          </w:tcPr>
          <w:p>
            <w:pPr>
              <w:spacing w:line="400" w:lineRule="exact"/>
              <w:ind w:firstLine="480"/>
              <w:jc w:val="center"/>
              <w:rPr>
                <w:rFonts w:ascii="宋体" w:hAnsi="宋体"/>
              </w:rPr>
            </w:pPr>
            <w:r>
              <w:rPr>
                <w:rFonts w:ascii="宋体" w:hAnsi="宋体"/>
              </w:rPr>
              <w:t>35.4</w:t>
            </w:r>
            <w:r>
              <w:rPr>
                <w:rFonts w:hint="eastAsia" w:ascii="宋体" w:hAnsi="宋体"/>
              </w:rPr>
              <w:t>%</w:t>
            </w:r>
          </w:p>
        </w:tc>
        <w:tc>
          <w:tcPr>
            <w:tcW w:w="1420" w:type="dxa"/>
            <w:noWrap w:val="0"/>
            <w:vAlign w:val="center"/>
          </w:tcPr>
          <w:p>
            <w:pPr>
              <w:spacing w:line="400" w:lineRule="exact"/>
              <w:ind w:firstLine="480"/>
              <w:jc w:val="center"/>
              <w:rPr>
                <w:rFonts w:ascii="宋体" w:hAnsi="宋体"/>
              </w:rPr>
            </w:pPr>
            <w:r>
              <w:rPr>
                <w:rFonts w:ascii="宋体" w:hAnsi="宋体"/>
              </w:rPr>
              <w:t>9</w:t>
            </w:r>
            <w:r>
              <w:rPr>
                <w:rFonts w:hint="eastAsia" w:ascii="宋体" w:hAnsi="宋体"/>
              </w:rPr>
              <w:t>%</w:t>
            </w:r>
          </w:p>
        </w:tc>
        <w:tc>
          <w:tcPr>
            <w:tcW w:w="1420" w:type="dxa"/>
            <w:noWrap w:val="0"/>
            <w:vAlign w:val="center"/>
          </w:tcPr>
          <w:p>
            <w:pPr>
              <w:spacing w:line="400" w:lineRule="exact"/>
              <w:ind w:firstLine="480"/>
              <w:jc w:val="center"/>
              <w:rPr>
                <w:rFonts w:ascii="宋体" w:hAnsi="宋体"/>
              </w:rPr>
            </w:pPr>
            <w:r>
              <w:rPr>
                <w:rFonts w:ascii="宋体" w:hAnsi="宋体"/>
              </w:rPr>
              <w:t>11.8</w:t>
            </w:r>
            <w:r>
              <w:rPr>
                <w:rFonts w:hint="eastAsia" w:ascii="宋体" w:hAnsi="宋体"/>
              </w:rPr>
              <w:t>%</w:t>
            </w:r>
          </w:p>
        </w:tc>
        <w:tc>
          <w:tcPr>
            <w:tcW w:w="1421" w:type="dxa"/>
            <w:noWrap w:val="0"/>
            <w:vAlign w:val="center"/>
          </w:tcPr>
          <w:p>
            <w:pPr>
              <w:spacing w:line="400" w:lineRule="exact"/>
              <w:ind w:firstLine="480"/>
              <w:jc w:val="center"/>
              <w:rPr>
                <w:rFonts w:ascii="宋体" w:hAnsi="宋体"/>
              </w:rPr>
            </w:pPr>
            <w:r>
              <w:rPr>
                <w:rFonts w:ascii="宋体" w:hAnsi="宋体"/>
              </w:rPr>
              <w:t>4.7</w:t>
            </w:r>
            <w:r>
              <w:rPr>
                <w:rFonts w:hint="eastAsia" w:ascii="宋体" w:hAnsi="宋体"/>
              </w:rPr>
              <w:t>%</w:t>
            </w:r>
          </w:p>
        </w:tc>
      </w:tr>
    </w:tbl>
    <w:p>
      <w:pPr>
        <w:spacing w:line="400" w:lineRule="exact"/>
        <w:ind w:firstLine="480"/>
        <w:rPr>
          <w:rFonts w:ascii="宋体" w:hAnsi="宋体"/>
        </w:rPr>
      </w:pPr>
      <w:bookmarkStart w:id="0" w:name="_Toc355034992"/>
      <w:bookmarkStart w:id="1" w:name="_Toc355007807"/>
      <w:r>
        <w:rPr>
          <w:rFonts w:hint="eastAsia" w:ascii="宋体" w:hAnsi="宋体"/>
        </w:rPr>
        <w:t>调查表明，在读物的选择上，高年级的孩子喜欢漫画卡通类的学生最多，占了</w:t>
      </w:r>
      <w:r>
        <w:rPr>
          <w:rFonts w:ascii="宋体" w:hAnsi="宋体"/>
        </w:rPr>
        <w:t>35.4</w:t>
      </w:r>
      <w:r>
        <w:rPr>
          <w:rFonts w:hint="eastAsia" w:ascii="宋体" w:hAnsi="宋体"/>
        </w:rPr>
        <w:t>%的比例。有 1</w:t>
      </w:r>
      <w:r>
        <w:rPr>
          <w:rFonts w:ascii="宋体" w:hAnsi="宋体"/>
        </w:rPr>
        <w:t>7.9</w:t>
      </w:r>
      <w:r>
        <w:rPr>
          <w:rFonts w:hint="eastAsia" w:ascii="宋体" w:hAnsi="宋体"/>
        </w:rPr>
        <w:t>%的学生喜欢科普类书籍。有 2</w:t>
      </w:r>
      <w:r>
        <w:rPr>
          <w:rFonts w:ascii="宋体" w:hAnsi="宋体"/>
        </w:rPr>
        <w:t>1.2</w:t>
      </w:r>
      <w:r>
        <w:rPr>
          <w:rFonts w:hint="eastAsia" w:ascii="宋体" w:hAnsi="宋体"/>
        </w:rPr>
        <w:t>%的学生喜欢故事类的书籍。共有</w:t>
      </w:r>
      <w:r>
        <w:rPr>
          <w:rFonts w:ascii="宋体" w:hAnsi="宋体"/>
        </w:rPr>
        <w:t>74.5</w:t>
      </w:r>
      <w:r>
        <w:rPr>
          <w:rFonts w:hint="eastAsia" w:ascii="宋体" w:hAnsi="宋体"/>
        </w:rPr>
        <w:t>%的学生选择了故事类、科普类和漫画类</w:t>
      </w:r>
      <w:bookmarkEnd w:id="0"/>
      <w:bookmarkEnd w:id="1"/>
      <w:r>
        <w:rPr>
          <w:rFonts w:hint="eastAsia" w:ascii="宋体" w:hAnsi="宋体"/>
        </w:rPr>
        <w:t>。喜欢学习类的共有4</w:t>
      </w:r>
      <w:r>
        <w:rPr>
          <w:rFonts w:ascii="宋体" w:hAnsi="宋体"/>
        </w:rPr>
        <w:t>4</w:t>
      </w:r>
      <w:r>
        <w:rPr>
          <w:rFonts w:hint="eastAsia" w:ascii="宋体" w:hAnsi="宋体"/>
        </w:rPr>
        <w:t>人，占2</w:t>
      </w:r>
      <w:r>
        <w:rPr>
          <w:rFonts w:ascii="宋体" w:hAnsi="宋体"/>
        </w:rPr>
        <w:t>0.8</w:t>
      </w:r>
      <w:r>
        <w:rPr>
          <w:rFonts w:hint="eastAsia" w:ascii="宋体" w:hAnsi="宋体"/>
        </w:rPr>
        <w:t>%。</w:t>
      </w:r>
    </w:p>
    <w:p>
      <w:pPr>
        <w:spacing w:line="400" w:lineRule="exact"/>
        <w:ind w:firstLine="480"/>
        <w:rPr>
          <w:rFonts w:hint="eastAsia" w:ascii="宋体" w:hAnsi="宋体"/>
        </w:rPr>
      </w:pPr>
      <w:r>
        <w:rPr>
          <w:rFonts w:hint="eastAsia" w:ascii="宋体" w:hAnsi="宋体"/>
        </w:rPr>
        <w:t>数据显示，小学生喜欢的课外阅读内容依次为：漫画卡通类（</w:t>
      </w:r>
      <w:r>
        <w:rPr>
          <w:rFonts w:ascii="宋体" w:hAnsi="宋体"/>
        </w:rPr>
        <w:t>35.4</w:t>
      </w:r>
      <w:r>
        <w:rPr>
          <w:rFonts w:hint="eastAsia" w:ascii="宋体" w:hAnsi="宋体"/>
        </w:rPr>
        <w:t>%），故事类（2</w:t>
      </w:r>
      <w:r>
        <w:rPr>
          <w:rFonts w:ascii="宋体" w:hAnsi="宋体"/>
        </w:rPr>
        <w:t>1.2</w:t>
      </w:r>
      <w:r>
        <w:rPr>
          <w:rFonts w:hint="eastAsia" w:ascii="宋体" w:hAnsi="宋体"/>
        </w:rPr>
        <w:t>%），科普类（</w:t>
      </w:r>
      <w:r>
        <w:rPr>
          <w:rFonts w:ascii="宋体" w:hAnsi="宋体"/>
        </w:rPr>
        <w:t>17.9</w:t>
      </w:r>
      <w:r>
        <w:rPr>
          <w:rFonts w:hint="eastAsia" w:ascii="宋体" w:hAnsi="宋体"/>
        </w:rPr>
        <w:t>%），学习类（2</w:t>
      </w:r>
      <w:r>
        <w:rPr>
          <w:rFonts w:ascii="宋体" w:hAnsi="宋体"/>
        </w:rPr>
        <w:t>0.8</w:t>
      </w:r>
      <w:r>
        <w:rPr>
          <w:rFonts w:hint="eastAsia" w:ascii="宋体" w:hAnsi="宋体"/>
        </w:rPr>
        <w:t>%。），其他（</w:t>
      </w:r>
      <w:r>
        <w:rPr>
          <w:rFonts w:ascii="宋体" w:hAnsi="宋体"/>
        </w:rPr>
        <w:t>4.7</w:t>
      </w:r>
      <w:r>
        <w:rPr>
          <w:rFonts w:hint="eastAsia" w:ascii="宋体" w:hAnsi="宋体"/>
        </w:rPr>
        <w:t>%）。可见，在小学生喜欢的课外读物中，漫画卡通类排在第一位，其次是文学类，所选类型丰富多样，整体上呈现出多元化的趋势，这与小学生心理发展状况有关。小学五、六年级的学生正处于生理、心理高速发展的时期，这个年龄是学生思维发展的关键年龄，也就是说，这时候的学生正处于具体形象思维向抽象逻辑思维发展的一个转折点，他们的思维尽管还有具体形象性，但已经能用比较抽象的概念来思考和感受阅读的乐趣了。这时的学生兴趣逐渐分化，在阅读上，便直接表现为他们的阅读内容趋向多元化。</w:t>
      </w:r>
    </w:p>
    <w:p>
      <w:pPr>
        <w:spacing w:line="400" w:lineRule="exact"/>
        <w:ind w:firstLine="480"/>
        <w:rPr>
          <w:rFonts w:hint="default" w:ascii="宋体" w:hAnsi="宋体" w:eastAsiaTheme="minorEastAsia"/>
          <w:lang w:val="en-US" w:eastAsia="zh-CN"/>
        </w:rPr>
      </w:pPr>
      <w:r>
        <w:rPr>
          <w:rFonts w:hint="eastAsia" w:ascii="宋体" w:hAnsi="宋体"/>
          <w:lang w:val="en-US" w:eastAsia="zh-CN"/>
        </w:rPr>
        <w:t xml:space="preserve">                                                             李文娟、费玲爽</w:t>
      </w:r>
      <w:bookmarkStart w:id="2" w:name="_GoBack"/>
      <w:bookmarkEnd w:id="2"/>
    </w:p>
    <w:p>
      <w:pPr>
        <w:jc w:val="left"/>
        <w:rPr>
          <w:rFonts w:hint="eastAsia" w:ascii="宋体" w:hAnsi="宋体"/>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939FD"/>
    <w:rsid w:val="499F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029</dc:creator>
  <cp:lastModifiedBy>029</cp:lastModifiedBy>
  <dcterms:modified xsi:type="dcterms:W3CDTF">2019-11-01T08:17:23Z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