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eastAsia="方正大标宋简体"/>
          <w:b/>
          <w:sz w:val="36"/>
        </w:rPr>
      </w:pPr>
      <w:r>
        <w:rPr>
          <w:rFonts w:hint="eastAsia" w:ascii="方正大标宋简体" w:eastAsia="方正大标宋简体"/>
          <w:b/>
          <w:sz w:val="36"/>
        </w:rPr>
        <w:t>常州市教科研课题研究活动情况登记表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560"/>
        <w:gridCol w:w="658"/>
        <w:gridCol w:w="492"/>
        <w:gridCol w:w="874"/>
        <w:gridCol w:w="1237"/>
        <w:gridCol w:w="1251"/>
        <w:gridCol w:w="1035"/>
        <w:gridCol w:w="786"/>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108" w:type="dxa"/>
            <w:gridSpan w:val="2"/>
            <w:noWrap w:val="0"/>
            <w:vAlign w:val="center"/>
          </w:tcPr>
          <w:p>
            <w:pPr>
              <w:jc w:val="center"/>
              <w:rPr>
                <w:rFonts w:hint="eastAsia" w:ascii="宋体"/>
                <w:b/>
              </w:rPr>
            </w:pPr>
            <w:r>
              <w:rPr>
                <w:rFonts w:hint="eastAsia" w:ascii="宋体"/>
                <w:b/>
              </w:rPr>
              <w:t>时间</w:t>
            </w:r>
          </w:p>
        </w:tc>
        <w:tc>
          <w:tcPr>
            <w:tcW w:w="1150" w:type="dxa"/>
            <w:gridSpan w:val="2"/>
            <w:noWrap w:val="0"/>
            <w:vAlign w:val="center"/>
          </w:tcPr>
          <w:p>
            <w:pPr>
              <w:jc w:val="center"/>
              <w:rPr>
                <w:rFonts w:hint="default" w:ascii="宋体"/>
                <w:b/>
                <w:lang w:val="en-US"/>
              </w:rPr>
            </w:pPr>
            <w:r>
              <w:rPr>
                <w:rFonts w:hint="eastAsia" w:ascii="宋体"/>
                <w:b/>
                <w:lang w:val="en-US" w:eastAsia="zh-CN"/>
              </w:rPr>
              <w:t>2019.3.322</w:t>
            </w:r>
          </w:p>
        </w:tc>
        <w:tc>
          <w:tcPr>
            <w:tcW w:w="874" w:type="dxa"/>
            <w:noWrap w:val="0"/>
            <w:vAlign w:val="center"/>
          </w:tcPr>
          <w:p>
            <w:pPr>
              <w:jc w:val="center"/>
              <w:rPr>
                <w:rFonts w:hint="eastAsia" w:ascii="宋体"/>
                <w:b/>
              </w:rPr>
            </w:pPr>
            <w:r>
              <w:rPr>
                <w:rFonts w:hint="eastAsia" w:ascii="宋体"/>
                <w:b/>
              </w:rPr>
              <w:t>地点</w:t>
            </w:r>
          </w:p>
        </w:tc>
        <w:tc>
          <w:tcPr>
            <w:tcW w:w="1237" w:type="dxa"/>
            <w:noWrap w:val="0"/>
            <w:vAlign w:val="center"/>
          </w:tcPr>
          <w:p>
            <w:pPr>
              <w:jc w:val="center"/>
              <w:rPr>
                <w:rFonts w:hint="eastAsia" w:ascii="宋体"/>
                <w:b/>
              </w:rPr>
            </w:pPr>
            <w:r>
              <w:rPr>
                <w:rFonts w:hint="eastAsia" w:ascii="宋体"/>
                <w:b/>
                <w:lang w:eastAsia="zh-CN"/>
              </w:rPr>
              <w:t>图书馆</w:t>
            </w:r>
          </w:p>
        </w:tc>
        <w:tc>
          <w:tcPr>
            <w:tcW w:w="1251" w:type="dxa"/>
            <w:noWrap w:val="0"/>
            <w:vAlign w:val="center"/>
          </w:tcPr>
          <w:p>
            <w:pPr>
              <w:jc w:val="center"/>
              <w:rPr>
                <w:rFonts w:hint="eastAsia" w:ascii="宋体"/>
                <w:b/>
              </w:rPr>
            </w:pPr>
            <w:r>
              <w:rPr>
                <w:rFonts w:hint="eastAsia" w:ascii="宋体"/>
                <w:b/>
              </w:rPr>
              <w:t>参加对象</w:t>
            </w:r>
          </w:p>
          <w:p>
            <w:pPr>
              <w:jc w:val="center"/>
              <w:rPr>
                <w:rFonts w:hint="eastAsia" w:ascii="宋体"/>
                <w:b/>
              </w:rPr>
            </w:pPr>
            <w:r>
              <w:rPr>
                <w:rFonts w:hint="eastAsia" w:ascii="宋体"/>
                <w:b/>
              </w:rPr>
              <w:t>及应到人数</w:t>
            </w:r>
          </w:p>
        </w:tc>
        <w:tc>
          <w:tcPr>
            <w:tcW w:w="1035" w:type="dxa"/>
            <w:noWrap w:val="0"/>
            <w:vAlign w:val="center"/>
          </w:tcPr>
          <w:p>
            <w:pPr>
              <w:jc w:val="center"/>
              <w:rPr>
                <w:rFonts w:hint="eastAsia" w:ascii="宋体"/>
                <w:b/>
              </w:rPr>
            </w:pPr>
            <w:r>
              <w:rPr>
                <w:rFonts w:hint="eastAsia" w:ascii="宋体"/>
                <w:b/>
                <w:lang w:val="en-US" w:eastAsia="zh-CN"/>
              </w:rPr>
              <w:t>11</w:t>
            </w:r>
          </w:p>
        </w:tc>
        <w:tc>
          <w:tcPr>
            <w:tcW w:w="786" w:type="dxa"/>
            <w:noWrap w:val="0"/>
            <w:vAlign w:val="center"/>
          </w:tcPr>
          <w:p>
            <w:pPr>
              <w:jc w:val="center"/>
              <w:rPr>
                <w:rFonts w:hint="eastAsia" w:ascii="宋体"/>
                <w:b/>
              </w:rPr>
            </w:pPr>
            <w:r>
              <w:rPr>
                <w:rFonts w:hint="eastAsia" w:ascii="宋体"/>
                <w:b/>
              </w:rPr>
              <w:t>实到人数</w:t>
            </w:r>
          </w:p>
        </w:tc>
        <w:tc>
          <w:tcPr>
            <w:tcW w:w="1081" w:type="dxa"/>
            <w:noWrap w:val="0"/>
            <w:vAlign w:val="center"/>
          </w:tcPr>
          <w:p>
            <w:pPr>
              <w:jc w:val="center"/>
              <w:rPr>
                <w:rFonts w:hint="eastAsia" w:ascii="宋体"/>
                <w:b/>
              </w:rPr>
            </w:pPr>
            <w:r>
              <w:rPr>
                <w:rFonts w:hint="eastAsia" w:ascii="宋体"/>
                <w:b/>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8" w:type="dxa"/>
            <w:gridSpan w:val="2"/>
            <w:noWrap w:val="0"/>
            <w:vAlign w:val="center"/>
          </w:tcPr>
          <w:p>
            <w:pPr>
              <w:jc w:val="center"/>
              <w:rPr>
                <w:rFonts w:hint="eastAsia" w:ascii="宋体"/>
                <w:b/>
              </w:rPr>
            </w:pPr>
            <w:r>
              <w:rPr>
                <w:rFonts w:hint="eastAsia" w:ascii="宋体"/>
                <w:b/>
              </w:rPr>
              <w:t>主持人</w:t>
            </w:r>
          </w:p>
        </w:tc>
        <w:tc>
          <w:tcPr>
            <w:tcW w:w="1150" w:type="dxa"/>
            <w:gridSpan w:val="2"/>
            <w:noWrap w:val="0"/>
            <w:vAlign w:val="center"/>
          </w:tcPr>
          <w:p>
            <w:pPr>
              <w:jc w:val="center"/>
              <w:rPr>
                <w:rFonts w:hint="eastAsia" w:ascii="宋体"/>
                <w:b/>
              </w:rPr>
            </w:pPr>
            <w:r>
              <w:rPr>
                <w:rFonts w:hint="eastAsia" w:ascii="宋体"/>
                <w:b/>
                <w:lang w:eastAsia="zh-CN"/>
              </w:rPr>
              <w:t>冯丽亚</w:t>
            </w:r>
          </w:p>
        </w:tc>
        <w:tc>
          <w:tcPr>
            <w:tcW w:w="874" w:type="dxa"/>
            <w:noWrap w:val="0"/>
            <w:vAlign w:val="center"/>
          </w:tcPr>
          <w:p>
            <w:pPr>
              <w:jc w:val="center"/>
              <w:rPr>
                <w:rFonts w:hint="eastAsia" w:ascii="宋体"/>
                <w:b/>
              </w:rPr>
            </w:pPr>
            <w:r>
              <w:rPr>
                <w:rFonts w:hint="eastAsia" w:ascii="宋体"/>
                <w:b/>
              </w:rPr>
              <w:t>活动</w:t>
            </w:r>
          </w:p>
          <w:p>
            <w:pPr>
              <w:jc w:val="center"/>
              <w:rPr>
                <w:rFonts w:hint="eastAsia" w:ascii="宋体"/>
                <w:b/>
              </w:rPr>
            </w:pPr>
            <w:r>
              <w:rPr>
                <w:rFonts w:hint="eastAsia" w:ascii="宋体"/>
                <w:b/>
              </w:rPr>
              <w:t>形式</w:t>
            </w:r>
          </w:p>
        </w:tc>
        <w:tc>
          <w:tcPr>
            <w:tcW w:w="5390" w:type="dxa"/>
            <w:gridSpan w:val="5"/>
            <w:noWrap w:val="0"/>
            <w:vAlign w:val="center"/>
          </w:tcPr>
          <w:p>
            <w:pPr>
              <w:jc w:val="center"/>
              <w:rPr>
                <w:rFonts w:hint="eastAsia" w:ascii="宋体"/>
                <w:b/>
              </w:rPr>
            </w:pPr>
            <w:r>
              <w:rPr>
                <w:rFonts w:hint="eastAsia" w:ascii="宋体"/>
                <w:b/>
                <w:lang w:eastAsia="zh-CN"/>
              </w:rPr>
              <w:t>文献理论研究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gridSpan w:val="3"/>
            <w:noWrap w:val="0"/>
            <w:vAlign w:val="center"/>
          </w:tcPr>
          <w:p>
            <w:pPr>
              <w:jc w:val="center"/>
              <w:rPr>
                <w:rFonts w:hint="eastAsia" w:ascii="宋体"/>
                <w:b/>
              </w:rPr>
            </w:pPr>
            <w:r>
              <w:rPr>
                <w:rFonts w:hint="eastAsia" w:ascii="宋体"/>
                <w:b/>
              </w:rPr>
              <w:t>研究的目的</w:t>
            </w:r>
          </w:p>
          <w:p>
            <w:pPr>
              <w:jc w:val="center"/>
              <w:rPr>
                <w:rFonts w:hint="eastAsia" w:ascii="宋体"/>
                <w:b/>
              </w:rPr>
            </w:pPr>
            <w:r>
              <w:rPr>
                <w:rFonts w:hint="eastAsia" w:ascii="宋体"/>
                <w:b/>
              </w:rPr>
              <w:t>（范围、方法）</w:t>
            </w:r>
          </w:p>
        </w:tc>
        <w:tc>
          <w:tcPr>
            <w:tcW w:w="6756" w:type="dxa"/>
            <w:gridSpan w:val="7"/>
            <w:noWrap w:val="0"/>
            <w:vAlign w:val="center"/>
          </w:tcPr>
          <w:p>
            <w:pPr>
              <w:jc w:val="center"/>
              <w:rPr>
                <w:rFonts w:hint="eastAsia" w:ascii="宋体"/>
                <w:b/>
                <w:lang w:eastAsia="zh-CN"/>
              </w:rPr>
            </w:pPr>
            <w:r>
              <w:rPr>
                <w:rFonts w:hint="eastAsia" w:ascii="宋体"/>
                <w:b/>
                <w:lang w:eastAsia="zh-CN"/>
              </w:rPr>
              <w:t>古代经典文明基因探寻的研读实践</w:t>
            </w:r>
          </w:p>
          <w:p>
            <w:pPr>
              <w:jc w:val="center"/>
              <w:rPr>
                <w:rFonts w:hint="eastAsia" w:ascii="宋体"/>
                <w:b/>
              </w:rPr>
            </w:pPr>
            <w:r>
              <w:rPr>
                <w:rFonts w:hint="eastAsia" w:ascii="宋体"/>
                <w:b/>
              </w:rPr>
              <w:t>学科组 文献研究法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3" w:hRule="atLeast"/>
        </w:trPr>
        <w:tc>
          <w:tcPr>
            <w:tcW w:w="548" w:type="dxa"/>
            <w:noWrap w:val="0"/>
            <w:textDirection w:val="tbRlV"/>
            <w:vAlign w:val="center"/>
          </w:tcPr>
          <w:p>
            <w:pPr>
              <w:ind w:left="113" w:right="113"/>
              <w:jc w:val="center"/>
              <w:rPr>
                <w:rFonts w:hint="eastAsia" w:ascii="宋体"/>
                <w:b/>
                <w:spacing w:val="40"/>
              </w:rPr>
            </w:pPr>
            <w:r>
              <w:rPr>
                <w:rFonts w:hint="eastAsia" w:ascii="宋体"/>
                <w:b/>
                <w:spacing w:val="40"/>
              </w:rPr>
              <w:t>主要内容（不够填写另附纸）</w:t>
            </w:r>
          </w:p>
        </w:tc>
        <w:tc>
          <w:tcPr>
            <w:tcW w:w="7974" w:type="dxa"/>
            <w:gridSpan w:val="9"/>
            <w:noWrap w:val="0"/>
            <w:vAlign w:val="center"/>
          </w:tcPr>
          <w:p>
            <w:pPr>
              <w:ind w:firstLine="420" w:firstLineChars="200"/>
              <w:jc w:val="left"/>
              <w:rPr>
                <w:rFonts w:hint="eastAsia" w:ascii="宋体"/>
                <w:lang w:eastAsia="zh-CN"/>
              </w:rPr>
            </w:pPr>
            <w:r>
              <w:rPr>
                <w:rFonts w:hint="eastAsia" w:ascii="宋体"/>
                <w:lang w:eastAsia="zh-CN"/>
              </w:rPr>
              <w:t>一、现象与设想</w:t>
            </w:r>
          </w:p>
          <w:p>
            <w:pPr>
              <w:ind w:firstLine="420" w:firstLineChars="200"/>
              <w:jc w:val="left"/>
              <w:rPr>
                <w:rFonts w:hint="eastAsia" w:ascii="宋体"/>
                <w:lang w:eastAsia="zh-CN"/>
              </w:rPr>
            </w:pPr>
            <w:r>
              <w:rPr>
                <w:rFonts w:hint="eastAsia" w:ascii="宋体"/>
                <w:lang w:eastAsia="zh-CN"/>
              </w:rPr>
              <w:t>在古代经典的研读教学中，我们的解读一般着眼于古人人事活动的行为意义，并被这种思维所左右，满足于对古人在为己、为家、为国而奋斗等人事活动中的行为，以及所表现的精神、品质等一般文化意义的解读。</w:t>
            </w:r>
          </w:p>
          <w:p>
            <w:pPr>
              <w:ind w:firstLine="420" w:firstLineChars="200"/>
              <w:jc w:val="left"/>
              <w:rPr>
                <w:rFonts w:hint="eastAsia" w:ascii="宋体"/>
                <w:lang w:eastAsia="zh-CN"/>
              </w:rPr>
            </w:pPr>
          </w:p>
          <w:p>
            <w:pPr>
              <w:numPr>
                <w:ilvl w:val="0"/>
                <w:numId w:val="1"/>
              </w:numPr>
              <w:ind w:firstLine="420" w:firstLineChars="200"/>
              <w:jc w:val="left"/>
              <w:rPr>
                <w:rFonts w:hint="eastAsia" w:ascii="宋体"/>
                <w:lang w:eastAsia="zh-CN"/>
              </w:rPr>
            </w:pPr>
            <w:r>
              <w:rPr>
                <w:rFonts w:hint="eastAsia" w:ascii="宋体"/>
                <w:lang w:eastAsia="zh-CN"/>
              </w:rPr>
              <w:t>实践与探究</w:t>
            </w:r>
          </w:p>
          <w:p>
            <w:pPr>
              <w:numPr>
                <w:ilvl w:val="0"/>
                <w:numId w:val="0"/>
              </w:numPr>
              <w:ind w:left="420" w:leftChars="0"/>
              <w:jc w:val="left"/>
              <w:rPr>
                <w:rFonts w:hint="eastAsia" w:ascii="宋体"/>
                <w:lang w:val="en-US" w:eastAsia="zh-CN"/>
              </w:rPr>
            </w:pPr>
            <w:r>
              <w:rPr>
                <w:rFonts w:hint="eastAsia" w:ascii="宋体"/>
                <w:lang w:val="en-US" w:eastAsia="zh-CN"/>
              </w:rPr>
              <w:t>1、教学的视角与定位</w:t>
            </w:r>
          </w:p>
          <w:p>
            <w:pPr>
              <w:numPr>
                <w:ilvl w:val="0"/>
                <w:numId w:val="0"/>
              </w:numPr>
              <w:ind w:firstLine="420" w:firstLineChars="200"/>
              <w:jc w:val="left"/>
              <w:rPr>
                <w:rFonts w:hint="default" w:ascii="宋体"/>
                <w:lang w:val="en-US" w:eastAsia="zh-CN"/>
              </w:rPr>
            </w:pPr>
            <w:r>
              <w:rPr>
                <w:rFonts w:hint="default" w:ascii="宋体"/>
                <w:lang w:val="en-US" w:eastAsia="zh-CN"/>
              </w:rPr>
              <w:t>在教学实践中我们发现，古代经典呈现的多是古代人事活动组合而成的文化现象，并且这些使文化现象中藴含着一些文明基因。于是，我们把教学的视角着眼于引导学生进行文化现象的探究，把教学的目标定位于文明基因的传承。在学习古代经典的文字、文句、文章的基础上，引导学生把经典中的人事活动作为文化现象研读，然后进行哲学层面的思考，探寻古人人事活动中所蕴含的生存智慧、生命觉悟等文明基因。</w:t>
            </w:r>
          </w:p>
          <w:p>
            <w:pPr>
              <w:numPr>
                <w:ilvl w:val="0"/>
                <w:numId w:val="2"/>
              </w:numPr>
              <w:ind w:firstLine="420" w:firstLineChars="200"/>
              <w:jc w:val="left"/>
              <w:rPr>
                <w:rFonts w:hint="eastAsia" w:ascii="宋体"/>
                <w:lang w:val="en-US" w:eastAsia="zh-CN"/>
              </w:rPr>
            </w:pPr>
            <w:r>
              <w:rPr>
                <w:rFonts w:hint="eastAsia" w:ascii="宋体"/>
                <w:lang w:val="en-US" w:eastAsia="zh-CN"/>
              </w:rPr>
              <w:t>研读的视野与研读的境界</w:t>
            </w:r>
          </w:p>
          <w:p>
            <w:pPr>
              <w:numPr>
                <w:ilvl w:val="0"/>
                <w:numId w:val="0"/>
              </w:numPr>
              <w:ind w:firstLine="420" w:firstLineChars="200"/>
              <w:jc w:val="left"/>
              <w:rPr>
                <w:rFonts w:hint="default" w:ascii="宋体"/>
                <w:lang w:val="en-US" w:eastAsia="zh-CN"/>
              </w:rPr>
            </w:pPr>
            <w:r>
              <w:rPr>
                <w:rFonts w:hint="eastAsia" w:ascii="宋体"/>
                <w:lang w:val="en-US" w:eastAsia="zh-CN"/>
              </w:rPr>
              <w:t>研读的视野决定着研读的境界，通过研读视野的转化，追求研读境界的提升，其中的关键是建构研读的途径。</w:t>
            </w:r>
          </w:p>
          <w:p>
            <w:pPr>
              <w:numPr>
                <w:ilvl w:val="0"/>
                <w:numId w:val="0"/>
              </w:numPr>
              <w:jc w:val="left"/>
              <w:rPr>
                <w:rFonts w:hint="default" w:ascii="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548" w:type="dxa"/>
            <w:noWrap w:val="0"/>
            <w:vAlign w:val="center"/>
          </w:tcPr>
          <w:p>
            <w:pPr>
              <w:jc w:val="center"/>
              <w:rPr>
                <w:rFonts w:hint="eastAsia" w:ascii="宋体"/>
                <w:b/>
              </w:rPr>
            </w:pPr>
            <w:r>
              <w:rPr>
                <w:rFonts w:hint="eastAsia" w:ascii="宋体"/>
                <w:b/>
              </w:rPr>
              <w:t>评</w:t>
            </w:r>
          </w:p>
          <w:p>
            <w:pPr>
              <w:jc w:val="center"/>
              <w:rPr>
                <w:rFonts w:hint="eastAsia" w:ascii="宋体"/>
                <w:b/>
              </w:rPr>
            </w:pPr>
          </w:p>
          <w:p>
            <w:pPr>
              <w:jc w:val="center"/>
              <w:rPr>
                <w:rFonts w:hint="eastAsia" w:ascii="宋体"/>
              </w:rPr>
            </w:pPr>
            <w:r>
              <w:rPr>
                <w:rFonts w:hint="eastAsia" w:ascii="宋体"/>
                <w:b/>
              </w:rPr>
              <w:t>价</w:t>
            </w:r>
          </w:p>
        </w:tc>
        <w:tc>
          <w:tcPr>
            <w:tcW w:w="7974" w:type="dxa"/>
            <w:gridSpan w:val="9"/>
            <w:noWrap w:val="0"/>
            <w:vAlign w:val="top"/>
          </w:tcPr>
          <w:p>
            <w:pPr>
              <w:rPr>
                <w:rFonts w:hint="eastAsia" w:ascii="宋体"/>
              </w:rPr>
            </w:pPr>
            <w:r>
              <w:rPr>
                <w:rFonts w:hint="eastAsia" w:ascii="宋体"/>
                <w:lang w:eastAsia="zh-CN"/>
              </w:rPr>
              <w:t>课题组成员学习本文，了解到</w:t>
            </w:r>
            <w:r>
              <w:rPr>
                <w:rFonts w:hint="eastAsia" w:ascii="宋体"/>
              </w:rPr>
              <w:t>把古代经典作为一种文类的文化载体，把文本中的人事活动作为一种文化现象，把古代经典的为研读作为一种文明基因的探寻，让语文学习中的活动、探究、思辨等学习在研读中落到实处我们也许能找到一种更有意义的古代经典研</w:t>
            </w:r>
            <w:r>
              <w:rPr>
                <w:rFonts w:hint="eastAsia" w:ascii="宋体"/>
                <w:lang w:eastAsia="zh-CN"/>
              </w:rPr>
              <w:t>读</w:t>
            </w:r>
            <w:r>
              <w:rPr>
                <w:rFonts w:hint="eastAsia" w:ascii="宋体"/>
              </w:rPr>
              <w:t>的方法</w:t>
            </w:r>
            <w:r>
              <w:rPr>
                <w:rFonts w:hint="eastAsia" w:ascii="宋体"/>
                <w:lang w:eastAsia="zh-CN"/>
              </w:rPr>
              <w:t>，</w:t>
            </w:r>
            <w:r>
              <w:rPr>
                <w:rFonts w:hint="eastAsia" w:ascii="宋体"/>
              </w:rPr>
              <w:t>可能提高古代经典研读的意义。</w:t>
            </w:r>
          </w:p>
        </w:tc>
      </w:tr>
    </w:tbl>
    <w:p>
      <w:pPr>
        <w:ind w:firstLine="5190"/>
        <w:rPr>
          <w:rFonts w:hint="eastAsia" w:ascii="宋体"/>
          <w:sz w:val="28"/>
        </w:rPr>
      </w:pPr>
    </w:p>
    <w:p>
      <w:pPr>
        <w:ind w:firstLine="5190"/>
        <w:rPr>
          <w:rFonts w:hint="eastAsia" w:ascii="宋体"/>
          <w:b/>
          <w:sz w:val="24"/>
        </w:rPr>
      </w:pPr>
      <w:r>
        <w:rPr>
          <w:rFonts w:hint="eastAsia" w:ascii="宋体"/>
          <w:b/>
          <w:sz w:val="24"/>
        </w:rPr>
        <w:t>填表人</w:t>
      </w:r>
      <w:r>
        <w:rPr>
          <w:rFonts w:hint="eastAsia" w:ascii="宋体"/>
          <w:b/>
          <w:sz w:val="24"/>
          <w:u w:val="single"/>
        </w:rPr>
        <w:t xml:space="preserve">  </w:t>
      </w:r>
      <w:r>
        <w:rPr>
          <w:rFonts w:hint="eastAsia" w:ascii="宋体"/>
          <w:b/>
          <w:sz w:val="24"/>
          <w:u w:val="single"/>
          <w:lang w:eastAsia="zh-CN"/>
        </w:rPr>
        <w:t>冯丽亚</w:t>
      </w:r>
      <w:r>
        <w:rPr>
          <w:rFonts w:hint="eastAsia" w:ascii="宋体"/>
          <w:b/>
          <w:sz w:val="24"/>
          <w:u w:val="single"/>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方正大标宋简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3B3617"/>
    <w:multiLevelType w:val="singleLevel"/>
    <w:tmpl w:val="A63B3617"/>
    <w:lvl w:ilvl="0" w:tentative="0">
      <w:start w:val="2"/>
      <w:numFmt w:val="decimal"/>
      <w:suff w:val="nothing"/>
      <w:lvlText w:val="%1、"/>
      <w:lvlJc w:val="left"/>
    </w:lvl>
  </w:abstractNum>
  <w:abstractNum w:abstractNumId="1">
    <w:nsid w:val="BA3497AD"/>
    <w:multiLevelType w:val="singleLevel"/>
    <w:tmpl w:val="BA3497A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2857FC"/>
    <w:rsid w:val="2D285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2019-10-29T14:00:00Z</dcterms:created>
  <dc:creator>Administrator</dc:creator>
  <cp:lastModifiedBy>Administrator</cp:lastModifiedBy>
  <dcterms:modified xsi:type="dcterms:W3CDTF">2019-10-29T14:01:21Z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