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0"/>
          <w:szCs w:val="30"/>
          <w:lang w:eastAsia="zh-CN"/>
        </w:rPr>
      </w:pPr>
      <w:r>
        <w:rPr>
          <w:rFonts w:hint="eastAsia"/>
          <w:b/>
          <w:bCs/>
          <w:sz w:val="30"/>
          <w:szCs w:val="30"/>
        </w:rPr>
        <w:t>特聘教师王渺一来我</w:t>
      </w:r>
      <w:r>
        <w:rPr>
          <w:rFonts w:hint="eastAsia"/>
          <w:b/>
          <w:bCs/>
          <w:sz w:val="30"/>
          <w:szCs w:val="30"/>
          <w:lang w:eastAsia="zh-CN"/>
        </w:rPr>
        <w:t>校</w:t>
      </w:r>
      <w:r>
        <w:rPr>
          <w:rFonts w:hint="eastAsia"/>
          <w:b/>
          <w:bCs/>
          <w:sz w:val="30"/>
          <w:szCs w:val="30"/>
        </w:rPr>
        <w:t>解读</w:t>
      </w:r>
      <w:r>
        <w:rPr>
          <w:rFonts w:hint="eastAsia"/>
          <w:b/>
          <w:bCs/>
          <w:sz w:val="30"/>
          <w:szCs w:val="30"/>
          <w:lang w:eastAsia="zh-CN"/>
        </w:rPr>
        <w:t>《</w:t>
      </w:r>
      <w:r>
        <w:rPr>
          <w:rFonts w:hint="eastAsia"/>
          <w:b/>
          <w:bCs/>
          <w:sz w:val="30"/>
          <w:szCs w:val="30"/>
        </w:rPr>
        <w:t>新课标</w:t>
      </w:r>
      <w:r>
        <w:rPr>
          <w:rFonts w:hint="eastAsia"/>
          <w:b/>
          <w:bCs/>
          <w:sz w:val="30"/>
          <w:szCs w:val="30"/>
          <w:lang w:eastAsia="zh-CN"/>
        </w:rPr>
        <w:t>》下的体育学业水平考试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b w:val="0"/>
          <w:bCs w:val="0"/>
          <w:sz w:val="24"/>
          <w:szCs w:val="24"/>
          <w:lang w:eastAsia="zh-CN"/>
        </w:rPr>
      </w:pPr>
      <w:r>
        <w:rPr>
          <w:rFonts w:hint="eastAsia" w:ascii="Times New Roman" w:hAnsi="Times New Roman" w:cs="Times New Roman"/>
          <w:b w:val="0"/>
          <w:bCs w:val="0"/>
          <w:sz w:val="24"/>
          <w:szCs w:val="24"/>
          <w:lang w:eastAsia="zh-CN"/>
        </w:rPr>
        <w:drawing>
          <wp:inline distT="0" distB="0" distL="114300" distR="114300">
            <wp:extent cx="2314575" cy="1736725"/>
            <wp:effectExtent l="0" t="0" r="9525" b="15875"/>
            <wp:docPr id="1" name="图片 1" descr="QQ图片2019090310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903105258"/>
                    <pic:cNvPicPr>
                      <a:picLocks noChangeAspect="1"/>
                    </pic:cNvPicPr>
                  </pic:nvPicPr>
                  <pic:blipFill>
                    <a:blip r:embed="rId4"/>
                    <a:stretch>
                      <a:fillRect/>
                    </a:stretch>
                  </pic:blipFill>
                  <pic:spPr>
                    <a:xfrm>
                      <a:off x="0" y="0"/>
                      <a:ext cx="2314575" cy="1736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eastAsia="zh-CN"/>
        </w:rPr>
      </w:pPr>
      <w:r>
        <w:rPr>
          <w:rFonts w:hint="eastAsia" w:ascii="Times New Roman" w:hAnsi="Times New Roman" w:cs="Times New Roman"/>
          <w:b w:val="0"/>
          <w:bCs w:val="0"/>
          <w:sz w:val="24"/>
          <w:szCs w:val="24"/>
          <w:lang w:eastAsia="zh-CN"/>
        </w:rPr>
        <w:t>本周二上午，</w:t>
      </w:r>
      <w:r>
        <w:rPr>
          <w:rFonts w:hint="eastAsia" w:asciiTheme="minorEastAsia" w:hAnsiTheme="minorEastAsia" w:eastAsiaTheme="minorEastAsia" w:cstheme="minorEastAsia"/>
          <w:b w:val="0"/>
          <w:bCs w:val="0"/>
          <w:sz w:val="24"/>
          <w:szCs w:val="24"/>
          <w:lang w:eastAsia="zh-CN"/>
        </w:rPr>
        <w:t>特聘教师王渺一教授来我校体育教研组</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eastAsia="zh-CN"/>
        </w:rPr>
        <w:t>解读新课改</w:t>
      </w:r>
      <w:r>
        <w:rPr>
          <w:rFonts w:hint="eastAsia" w:asciiTheme="minorEastAsia" w:hAnsiTheme="minorEastAsia" w:cstheme="minorEastAsia"/>
          <w:b w:val="0"/>
          <w:bCs w:val="0"/>
          <w:sz w:val="24"/>
          <w:szCs w:val="24"/>
          <w:lang w:eastAsia="zh-CN"/>
        </w:rPr>
        <w:t>下的高中体育学业水平考试标准。他从以下几点对高中体育学业水平考试进行了较为详细的解读：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考试依据。江苏省出台的《深化普通高校考试招生制度综合改革实施方案》、《江苏省普通高中学业水平考试实施方案》和国家教育部颁发的《普通高中体育与健康课程标准（</w:t>
      </w:r>
      <w:r>
        <w:rPr>
          <w:rFonts w:hint="default" w:ascii="Times New Roman" w:hAnsi="Times New Roman" w:cs="Times New Roman"/>
          <w:b w:val="0"/>
          <w:bCs w:val="0"/>
          <w:sz w:val="24"/>
          <w:szCs w:val="24"/>
          <w:lang w:eastAsia="zh-CN"/>
        </w:rPr>
        <w:t>2017</w:t>
      </w:r>
      <w:r>
        <w:rPr>
          <w:rFonts w:hint="eastAsia" w:asciiTheme="minorEastAsia" w:hAnsiTheme="minorEastAsia" w:cstheme="minorEastAsia"/>
          <w:b w:val="0"/>
          <w:bCs w:val="0"/>
          <w:sz w:val="24"/>
          <w:szCs w:val="24"/>
          <w:lang w:eastAsia="zh-CN"/>
        </w:rPr>
        <w:t>年版）》。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考试性质与定位。学业水平考试是根据国家相关规定，由省级部门组织实施的考试，主要衡量普通高中学生达到国家规定学习要求的程度，是保障教育教学质量的一项重要制度，是高校考试招生制度的重要内容。普通高中体育与健康学业水平考试是检测高中学生在高中必修必学和必修选学模块中的运动能力、健康行为和体育品德，为合格性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三、考试特点。高中体育学业水平考试应具有操作性、创新性、科学性、集体性和基础性等特点，应表现出多种学习评价方法有机结合的特点。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r>
        <w:rPr>
          <w:rFonts w:hint="eastAsia" w:asciiTheme="minorEastAsia" w:hAnsiTheme="minorEastAsia" w:cstheme="minorEastAsia"/>
          <w:b w:val="0"/>
          <w:bCs w:val="0"/>
          <w:sz w:val="24"/>
          <w:szCs w:val="24"/>
          <w:lang w:eastAsia="zh-CN"/>
        </w:rPr>
        <w:t>四、考试内容、方法及要求。（</w:t>
      </w:r>
      <w:r>
        <w:rPr>
          <w:rFonts w:hint="eastAsia" w:ascii="Times New Roman" w:hAnsi="Times New Roman" w:cs="Times New Roman"/>
          <w:b w:val="0"/>
          <w:bCs w:val="0"/>
          <w:sz w:val="24"/>
          <w:szCs w:val="24"/>
          <w:lang w:val="en-US" w:eastAsia="zh-CN"/>
        </w:rPr>
        <w:t>1）国家颁布的广播操（或校本自编操）。</w:t>
      </w:r>
      <w:r>
        <w:rPr>
          <w:rFonts w:hint="eastAsia" w:asciiTheme="minorEastAsia" w:hAnsiTheme="minorEastAsia" w:cstheme="minorEastAsia"/>
          <w:b w:val="0"/>
          <w:bCs w:val="0"/>
          <w:sz w:val="24"/>
          <w:szCs w:val="24"/>
          <w:lang w:eastAsia="zh-CN"/>
        </w:rPr>
        <w:t>（</w:t>
      </w:r>
      <w:r>
        <w:rPr>
          <w:rFonts w:hint="eastAsia" w:ascii="Times New Roman" w:hAnsi="Times New Roman" w:cs="Times New Roman"/>
          <w:b w:val="0"/>
          <w:bCs w:val="0"/>
          <w:sz w:val="24"/>
          <w:szCs w:val="24"/>
          <w:lang w:val="en-US" w:eastAsia="zh-CN"/>
        </w:rPr>
        <w:t>2）项目模块教学内容（学校开设的模块教学内容）。（3）集体12分钟跑。</w:t>
      </w:r>
    </w:p>
    <w:tbl>
      <w:tblPr>
        <w:tblStyle w:val="3"/>
        <w:tblpPr w:leftFromText="180" w:rightFromText="180" w:vertAnchor="text" w:horzAnchor="page" w:tblpXSpec="center" w:tblpY="485"/>
        <w:tblOverlap w:val="never"/>
        <w:tblW w:w="8504" w:type="dxa"/>
        <w:jc w:val="center"/>
        <w:tblCellSpacing w:w="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Layout w:type="fixed"/>
        <w:tblCellMar>
          <w:top w:w="0" w:type="dxa"/>
          <w:left w:w="0" w:type="dxa"/>
          <w:bottom w:w="0" w:type="dxa"/>
          <w:right w:w="0" w:type="dxa"/>
        </w:tblCellMar>
      </w:tblPr>
      <w:tblGrid>
        <w:gridCol w:w="1259"/>
        <w:gridCol w:w="3475"/>
        <w:gridCol w:w="1312"/>
        <w:gridCol w:w="938"/>
        <w:gridCol w:w="879"/>
        <w:gridCol w:w="641"/>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shd w:val="clear" w:color="auto" w:fill="auto"/>
          <w:tblCellMar>
            <w:top w:w="0" w:type="dxa"/>
            <w:left w:w="0" w:type="dxa"/>
            <w:bottom w:w="0" w:type="dxa"/>
            <w:right w:w="0" w:type="dxa"/>
          </w:tblCellMar>
        </w:tblPrEx>
        <w:trPr>
          <w:trHeight w:val="0" w:hRule="atLeast"/>
          <w:tblCellSpacing w:w="0" w:type="dxa"/>
          <w:jc w:val="center"/>
        </w:trPr>
        <w:tc>
          <w:tcPr>
            <w:tcW w:w="1259"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考试内容</w:t>
            </w:r>
          </w:p>
        </w:tc>
        <w:tc>
          <w:tcPr>
            <w:tcW w:w="3475"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考试要求</w:t>
            </w:r>
          </w:p>
        </w:tc>
        <w:tc>
          <w:tcPr>
            <w:tcW w:w="1312"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考试时间</w:t>
            </w:r>
          </w:p>
        </w:tc>
        <w:tc>
          <w:tcPr>
            <w:tcW w:w="938"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权重%</w:t>
            </w:r>
          </w:p>
        </w:tc>
        <w:tc>
          <w:tcPr>
            <w:tcW w:w="879"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得分</w:t>
            </w:r>
          </w:p>
        </w:tc>
        <w:tc>
          <w:tcPr>
            <w:tcW w:w="641"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备注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49" w:hRule="atLeast"/>
          <w:tblCellSpacing w:w="0" w:type="dxa"/>
          <w:jc w:val="center"/>
        </w:trPr>
        <w:tc>
          <w:tcPr>
            <w:tcW w:w="1259"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国家颁布的广播操（自编操）</w:t>
            </w:r>
          </w:p>
        </w:tc>
        <w:tc>
          <w:tcPr>
            <w:tcW w:w="3475"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both"/>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做操时队伍整齐，做操动作规范，刚劲有力，舒展优美，身体姿势正确，有一定的节奏。</w:t>
            </w:r>
          </w:p>
        </w:tc>
        <w:tc>
          <w:tcPr>
            <w:tcW w:w="1312"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3-5分钟</w:t>
            </w:r>
          </w:p>
        </w:tc>
        <w:tc>
          <w:tcPr>
            <w:tcW w:w="938"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10</w:t>
            </w:r>
          </w:p>
        </w:tc>
        <w:tc>
          <w:tcPr>
            <w:tcW w:w="879"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100</w:t>
            </w:r>
          </w:p>
        </w:tc>
        <w:tc>
          <w:tcPr>
            <w:tcW w:w="641"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02" w:hRule="atLeast"/>
          <w:tblCellSpacing w:w="0" w:type="dxa"/>
          <w:jc w:val="center"/>
        </w:trPr>
        <w:tc>
          <w:tcPr>
            <w:tcW w:w="1259"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color w:val="000000"/>
                <w:sz w:val="15"/>
                <w:szCs w:val="15"/>
              </w:rPr>
            </w:pPr>
            <w:r>
              <w:rPr>
                <w:rFonts w:hint="eastAsia" w:asciiTheme="minorEastAsia" w:hAnsiTheme="minorEastAsia" w:eastAsiaTheme="minorEastAsia" w:cstheme="minorEastAsia"/>
                <w:b w:val="0"/>
                <w:bCs/>
                <w:color w:val="000000"/>
                <w:sz w:val="15"/>
                <w:szCs w:val="15"/>
              </w:rPr>
              <w:t>项目模块教学</w:t>
            </w:r>
          </w:p>
        </w:tc>
        <w:tc>
          <w:tcPr>
            <w:tcW w:w="3475"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both"/>
              <w:rPr>
                <w:rFonts w:hint="eastAsia" w:asciiTheme="minorEastAsia" w:hAnsiTheme="minorEastAsia" w:eastAsiaTheme="minorEastAsia" w:cstheme="minorEastAsia"/>
                <w:b w:val="0"/>
                <w:bCs/>
                <w:color w:val="000000"/>
                <w:sz w:val="15"/>
                <w:szCs w:val="15"/>
              </w:rPr>
            </w:pPr>
            <w:r>
              <w:rPr>
                <w:rFonts w:hint="eastAsia" w:asciiTheme="minorEastAsia" w:hAnsiTheme="minorEastAsia" w:eastAsiaTheme="minorEastAsia" w:cstheme="minorEastAsia"/>
                <w:b w:val="0"/>
                <w:bCs/>
                <w:color w:val="000000"/>
                <w:sz w:val="15"/>
                <w:szCs w:val="15"/>
              </w:rPr>
              <w:t>篮球评分案例</w:t>
            </w:r>
            <w:r>
              <w:rPr>
                <w:rFonts w:hint="eastAsia" w:asciiTheme="minorEastAsia" w:hAnsiTheme="minorEastAsia" w:cstheme="minorEastAsia"/>
                <w:b w:val="0"/>
                <w:bCs/>
                <w:color w:val="000000"/>
                <w:sz w:val="15"/>
                <w:szCs w:val="15"/>
                <w:lang w:val="en-US" w:eastAsia="zh-CN"/>
              </w:rPr>
              <w:t>1、</w:t>
            </w:r>
            <w:r>
              <w:rPr>
                <w:rFonts w:hint="eastAsia" w:asciiTheme="minorEastAsia" w:hAnsiTheme="minorEastAsia" w:eastAsiaTheme="minorEastAsia" w:cstheme="minorEastAsia"/>
                <w:b w:val="0"/>
                <w:bCs/>
                <w:color w:val="000000"/>
                <w:sz w:val="15"/>
                <w:szCs w:val="15"/>
              </w:rPr>
              <w:t>专项准备及展示</w:t>
            </w:r>
            <w:r>
              <w:rPr>
                <w:rFonts w:hint="eastAsia" w:asciiTheme="minorEastAsia" w:hAnsiTheme="minorEastAsia" w:eastAsiaTheme="minorEastAsia" w:cstheme="minorEastAsia"/>
                <w:b w:val="0"/>
                <w:bCs/>
                <w:color w:val="000000"/>
                <w:sz w:val="15"/>
                <w:szCs w:val="15"/>
                <w:lang w:val="en-US" w:eastAsia="zh-CN"/>
              </w:rPr>
              <w:t>2、</w:t>
            </w:r>
            <w:r>
              <w:rPr>
                <w:rFonts w:hint="eastAsia" w:asciiTheme="minorEastAsia" w:hAnsiTheme="minorEastAsia" w:eastAsiaTheme="minorEastAsia" w:cstheme="minorEastAsia"/>
                <w:b w:val="0"/>
                <w:bCs/>
                <w:color w:val="000000"/>
                <w:sz w:val="15"/>
                <w:szCs w:val="15"/>
              </w:rPr>
              <w:t>教学比赛</w:t>
            </w:r>
          </w:p>
        </w:tc>
        <w:tc>
          <w:tcPr>
            <w:tcW w:w="1312"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color w:val="000000"/>
                <w:sz w:val="15"/>
                <w:szCs w:val="15"/>
              </w:rPr>
            </w:pPr>
            <w:r>
              <w:rPr>
                <w:rFonts w:hint="eastAsia" w:asciiTheme="minorEastAsia" w:hAnsiTheme="minorEastAsia" w:eastAsiaTheme="minorEastAsia" w:cstheme="minorEastAsia"/>
                <w:b w:val="0"/>
                <w:bCs/>
                <w:color w:val="000000"/>
                <w:sz w:val="15"/>
                <w:szCs w:val="15"/>
              </w:rPr>
              <w:t>20分钟</w:t>
            </w:r>
          </w:p>
        </w:tc>
        <w:tc>
          <w:tcPr>
            <w:tcW w:w="938"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color w:val="000000"/>
                <w:sz w:val="15"/>
                <w:szCs w:val="15"/>
              </w:rPr>
            </w:pPr>
            <w:r>
              <w:rPr>
                <w:rFonts w:hint="eastAsia" w:asciiTheme="minorEastAsia" w:hAnsiTheme="minorEastAsia" w:eastAsiaTheme="minorEastAsia" w:cstheme="minorEastAsia"/>
                <w:b w:val="0"/>
                <w:bCs/>
                <w:color w:val="000000"/>
                <w:sz w:val="15"/>
                <w:szCs w:val="15"/>
              </w:rPr>
              <w:t>60</w:t>
            </w:r>
          </w:p>
        </w:tc>
        <w:tc>
          <w:tcPr>
            <w:tcW w:w="879"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color w:val="000000"/>
                <w:sz w:val="15"/>
                <w:szCs w:val="15"/>
              </w:rPr>
            </w:pPr>
            <w:r>
              <w:rPr>
                <w:rFonts w:hint="eastAsia" w:asciiTheme="minorEastAsia" w:hAnsiTheme="minorEastAsia" w:eastAsiaTheme="minorEastAsia" w:cstheme="minorEastAsia"/>
                <w:b w:val="0"/>
                <w:bCs/>
                <w:color w:val="000000"/>
                <w:sz w:val="15"/>
                <w:szCs w:val="15"/>
              </w:rPr>
              <w:t>100</w:t>
            </w:r>
          </w:p>
        </w:tc>
        <w:tc>
          <w:tcPr>
            <w:tcW w:w="641"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color w:val="000000"/>
                <w:sz w:val="15"/>
                <w:szCs w:val="15"/>
              </w:rPr>
            </w:pP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0" w:hRule="atLeast"/>
          <w:tblCellSpacing w:w="0" w:type="dxa"/>
          <w:jc w:val="center"/>
        </w:trPr>
        <w:tc>
          <w:tcPr>
            <w:tcW w:w="1259"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both"/>
              <w:rPr>
                <w:rFonts w:hint="eastAsia" w:asciiTheme="minorEastAsia" w:hAnsiTheme="minorEastAsia" w:eastAsiaTheme="minorEastAsia" w:cstheme="minorEastAsia"/>
                <w:b w:val="0"/>
                <w:bCs/>
                <w:color w:val="000000"/>
                <w:sz w:val="15"/>
                <w:szCs w:val="15"/>
              </w:rPr>
            </w:pPr>
            <w:r>
              <w:rPr>
                <w:rFonts w:hint="eastAsia" w:asciiTheme="minorEastAsia" w:hAnsiTheme="minorEastAsia" w:eastAsiaTheme="minorEastAsia" w:cstheme="minorEastAsia"/>
                <w:b w:val="0"/>
                <w:bCs/>
                <w:color w:val="000000"/>
                <w:sz w:val="15"/>
                <w:szCs w:val="15"/>
              </w:rPr>
              <w:t>集体12分钟跑</w:t>
            </w:r>
          </w:p>
          <w:p>
            <w:pPr>
              <w:pStyle w:val="2"/>
              <w:keepNext w:val="0"/>
              <w:keepLines w:val="0"/>
              <w:widowControl/>
              <w:suppressLineNumbers w:val="0"/>
              <w:jc w:val="both"/>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（跑操）</w:t>
            </w:r>
          </w:p>
        </w:tc>
        <w:tc>
          <w:tcPr>
            <w:tcW w:w="3475"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both"/>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1、集队迅速、队伍整齐，保持匀速跑进，可以领跑。2、在田径场上以行政班或模块教学班为单位集体进行跑操。3、集体跑操跑的动作趋于平稳，呼吸节奏正确，运动负荷合理，精神饱满，意志顽强。</w:t>
            </w:r>
          </w:p>
        </w:tc>
        <w:tc>
          <w:tcPr>
            <w:tcW w:w="1312"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12分钟</w:t>
            </w:r>
          </w:p>
        </w:tc>
        <w:tc>
          <w:tcPr>
            <w:tcW w:w="938"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30</w:t>
            </w:r>
          </w:p>
        </w:tc>
        <w:tc>
          <w:tcPr>
            <w:tcW w:w="879"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r>
              <w:rPr>
                <w:rFonts w:hint="eastAsia" w:asciiTheme="minorEastAsia" w:hAnsiTheme="minorEastAsia" w:eastAsiaTheme="minorEastAsia" w:cstheme="minorEastAsia"/>
                <w:b w:val="0"/>
                <w:bCs/>
                <w:color w:val="000000"/>
                <w:sz w:val="15"/>
                <w:szCs w:val="15"/>
              </w:rPr>
              <w:t>100</w:t>
            </w:r>
          </w:p>
        </w:tc>
        <w:tc>
          <w:tcPr>
            <w:tcW w:w="641" w:type="dxa"/>
            <w:tcBorders>
              <w:tl2br w:val="nil"/>
              <w:tr2bl w:val="nil"/>
            </w:tcBorders>
            <w:shd w:val="clear" w:color="auto" w:fill="auto"/>
            <w:tcMar>
              <w:left w:w="108" w:type="dxa"/>
              <w:right w:w="108" w:type="dxa"/>
            </w:tcMar>
            <w:vAlign w:val="center"/>
          </w:tcPr>
          <w:p>
            <w:pPr>
              <w:pStyle w:val="2"/>
              <w:keepNext w:val="0"/>
              <w:keepLines w:val="0"/>
              <w:widowControl/>
              <w:suppressLineNumbers w:val="0"/>
              <w:jc w:val="center"/>
              <w:rPr>
                <w:rFonts w:hint="eastAsia" w:asciiTheme="minorEastAsia" w:hAnsiTheme="minorEastAsia" w:eastAsiaTheme="minorEastAsia" w:cstheme="minorEastAsia"/>
                <w:b w:val="0"/>
                <w:bCs/>
                <w:sz w:val="15"/>
                <w:szCs w:val="15"/>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b w:val="0"/>
          <w:bCs w:val="0"/>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考试标准。（1）高中体育与健康学业考试的最终成绩以“合格”或“不合格”呈现。（2）成绩评定的过程。</w:t>
      </w:r>
      <w:r>
        <w:rPr>
          <w:rFonts w:hint="eastAsia" w:ascii="宋体" w:hAnsi="宋体" w:eastAsia="宋体" w:cs="宋体"/>
          <w:b w:val="0"/>
          <w:bCs w:val="0"/>
          <w:sz w:val="24"/>
          <w:szCs w:val="24"/>
          <w:lang w:val="en-US" w:eastAsia="zh-CN"/>
        </w:rPr>
        <w:t>①</w:t>
      </w:r>
      <w:r>
        <w:rPr>
          <w:rFonts w:hint="eastAsia" w:asciiTheme="minorEastAsia" w:hAnsiTheme="minorEastAsia" w:cstheme="minorEastAsia"/>
          <w:b w:val="0"/>
          <w:bCs w:val="0"/>
          <w:sz w:val="24"/>
          <w:szCs w:val="24"/>
          <w:lang w:val="en-US" w:eastAsia="zh-CN"/>
        </w:rPr>
        <w:t>设计团队集体展示和比赛的细目；</w:t>
      </w:r>
      <w:r>
        <w:rPr>
          <w:rFonts w:hint="eastAsia" w:ascii="宋体" w:hAnsi="宋体" w:eastAsia="宋体" w:cs="宋体"/>
          <w:b w:val="0"/>
          <w:bCs w:val="0"/>
          <w:sz w:val="24"/>
          <w:szCs w:val="24"/>
          <w:lang w:val="en-US" w:eastAsia="zh-CN"/>
        </w:rPr>
        <w:t>②</w:t>
      </w:r>
      <w:r>
        <w:rPr>
          <w:rFonts w:hint="eastAsia" w:asciiTheme="minorEastAsia" w:hAnsiTheme="minorEastAsia" w:cstheme="minorEastAsia"/>
          <w:b w:val="0"/>
          <w:bCs w:val="0"/>
          <w:sz w:val="24"/>
          <w:szCs w:val="24"/>
          <w:lang w:val="en-US" w:eastAsia="zh-CN"/>
        </w:rPr>
        <w:t>根据学生选项学习模块组团进行展示或比赛；</w:t>
      </w:r>
      <w:r>
        <w:rPr>
          <w:rFonts w:hint="eastAsia" w:ascii="宋体" w:hAnsi="宋体" w:eastAsia="宋体" w:cs="宋体"/>
          <w:b w:val="0"/>
          <w:bCs w:val="0"/>
          <w:sz w:val="24"/>
          <w:szCs w:val="24"/>
          <w:lang w:val="en-US" w:eastAsia="zh-CN"/>
        </w:rPr>
        <w:t>③</w:t>
      </w:r>
      <w:r>
        <w:rPr>
          <w:rFonts w:hint="eastAsia" w:asciiTheme="minorEastAsia" w:hAnsiTheme="minorEastAsia" w:cstheme="minorEastAsia"/>
          <w:b w:val="0"/>
          <w:bCs w:val="0"/>
          <w:sz w:val="24"/>
          <w:szCs w:val="24"/>
          <w:lang w:val="en-US" w:eastAsia="zh-CN"/>
        </w:rPr>
        <w:t>裁判团根据团队的表现按百分制打分，团队的总成绩为</w:t>
      </w:r>
      <w:r>
        <w:rPr>
          <w:rFonts w:hint="default" w:ascii="Times New Roman" w:hAnsi="Times New Roman" w:cs="Times New Roman"/>
          <w:b w:val="0"/>
          <w:bCs w:val="0"/>
          <w:sz w:val="24"/>
          <w:szCs w:val="24"/>
          <w:lang w:val="en-US" w:eastAsia="zh-CN"/>
        </w:rPr>
        <w:t>60分或60</w:t>
      </w:r>
      <w:r>
        <w:rPr>
          <w:rFonts w:hint="eastAsia" w:ascii="Times New Roman" w:hAnsi="Times New Roman" w:cs="Times New Roman"/>
          <w:b w:val="0"/>
          <w:bCs w:val="0"/>
          <w:sz w:val="24"/>
          <w:szCs w:val="24"/>
          <w:lang w:val="en-US" w:eastAsia="zh-CN"/>
        </w:rPr>
        <w:t>分</w:t>
      </w:r>
      <w:r>
        <w:rPr>
          <w:rFonts w:hint="eastAsia" w:asciiTheme="minorEastAsia" w:hAnsiTheme="minorEastAsia" w:cstheme="minorEastAsia"/>
          <w:b w:val="0"/>
          <w:bCs w:val="0"/>
          <w:sz w:val="24"/>
          <w:szCs w:val="24"/>
          <w:lang w:val="en-US" w:eastAsia="zh-CN"/>
        </w:rPr>
        <w:t>以上，则视每一成员均为“合格”，否则为“不合格”。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考试组织。以大市为单位，统一命制高中体育与健康学业水平考试卷和评分标准，考试内容从《考试要求》的考试内容中选取，评分标准可参照考试要求。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考试时间。普通高中体育与健康学业水平考试由省教育厅统一考试要求，各设区市组织考试，并由各设区市根据《普通高中课程方案》规定考试进程和确定考试时间。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迎考准备。在学校领导与体育组的共同努力下，要统筹规划、制定方案、路径、措施，有计划、有步骤地在体育教学、大课间活动、课外体育活动等学校体育过程中贯彻落实，提高学生运动能力。让学生在参加学校各项体育教学活动中，逐步提高运动能力，促进学生体质健康，取得好成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right"/>
        <w:textAlignment w:val="auto"/>
        <w:rPr>
          <w:rFonts w:hint="default" w:asciiTheme="minorEastAsia" w:hAnsiTheme="minorEastAsia" w:eastAsiaTheme="minorEastAsia" w:cstheme="minorEastAsia"/>
          <w:b/>
          <w:bCs/>
          <w:sz w:val="24"/>
          <w:szCs w:val="24"/>
          <w:lang w:val="en-US" w:eastAsia="zh-CN"/>
        </w:rPr>
      </w:pPr>
      <w:bookmarkStart w:id="0" w:name="_GoBack"/>
      <w:r>
        <w:rPr>
          <w:rFonts w:hint="default" w:asciiTheme="minorEastAsia" w:hAnsiTheme="minorEastAsia" w:eastAsiaTheme="minorEastAsia" w:cstheme="minorEastAsia"/>
          <w:b/>
          <w:bCs/>
          <w:sz w:val="24"/>
          <w:szCs w:val="24"/>
          <w:lang w:val="en-US" w:eastAsia="zh-CN"/>
        </w:rPr>
        <w:drawing>
          <wp:inline distT="0" distB="0" distL="114300" distR="114300">
            <wp:extent cx="2486660" cy="1864995"/>
            <wp:effectExtent l="0" t="0" r="8890" b="1905"/>
            <wp:docPr id="3" name="图片 3" descr="QQ图片2019090310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903105356"/>
                    <pic:cNvPicPr>
                      <a:picLocks noChangeAspect="1"/>
                    </pic:cNvPicPr>
                  </pic:nvPicPr>
                  <pic:blipFill>
                    <a:blip r:embed="rId5"/>
                    <a:stretch>
                      <a:fillRect/>
                    </a:stretch>
                  </pic:blipFill>
                  <pic:spPr>
                    <a:xfrm>
                      <a:off x="0" y="0"/>
                      <a:ext cx="2486660" cy="1864995"/>
                    </a:xfrm>
                    <a:prstGeom prst="rect">
                      <a:avLst/>
                    </a:prstGeom>
                  </pic:spPr>
                </pic:pic>
              </a:graphicData>
            </a:graphic>
          </wp:inline>
        </w:drawing>
      </w:r>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6828F"/>
    <w:multiLevelType w:val="singleLevel"/>
    <w:tmpl w:val="F8A6828F"/>
    <w:lvl w:ilvl="0" w:tentative="0">
      <w:start w:val="5"/>
      <w:numFmt w:val="chineseCounting"/>
      <w:suff w:val="nothing"/>
      <w:lvlText w:val="%1、"/>
      <w:lvlJc w:val="left"/>
      <w:rPr>
        <w:rFonts w:hint="eastAsia"/>
      </w:rPr>
    </w:lvl>
  </w:abstractNum>
  <w:abstractNum w:abstractNumId="1">
    <w:nsid w:val="60E5FC44"/>
    <w:multiLevelType w:val="singleLevel"/>
    <w:tmpl w:val="60E5FC4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40F88"/>
    <w:rsid w:val="46C72484"/>
    <w:rsid w:val="5115219A"/>
    <w:rsid w:val="5754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2019-09-03T03:24:00Z</dcterms:created>
  <dc:creator>Administrator</dc:creator>
  <cp:lastModifiedBy>Administrator</cp:lastModifiedBy>
  <dcterms:modified xsi:type="dcterms:W3CDTF">2019-09-03T08:04:12Z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