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新北区责任督学挂牌督导访谈记录</w:t>
      </w:r>
    </w:p>
    <w:tbl>
      <w:tblPr>
        <w:tblStyle w:val="4"/>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4770"/>
        <w:gridCol w:w="885"/>
        <w:gridCol w:w="2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1" w:hRule="atLeast"/>
        </w:trPr>
        <w:tc>
          <w:tcPr>
            <w:tcW w:w="959" w:type="dxa"/>
            <w:tcBorders>
              <w:right w:val="single" w:color="auto" w:sz="4" w:space="0"/>
            </w:tcBorders>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访谈</w:t>
            </w:r>
          </w:p>
          <w:p>
            <w:pPr>
              <w:adjustRightInd w:val="0"/>
              <w:snapToGrid w:val="0"/>
              <w:jc w:val="center"/>
              <w:rPr>
                <w:rFonts w:hint="eastAsia" w:ascii="仿宋_GB2312" w:eastAsia="仿宋_GB2312"/>
                <w:sz w:val="32"/>
                <w:szCs w:val="32"/>
              </w:rPr>
            </w:pPr>
            <w:r>
              <w:rPr>
                <w:rFonts w:hint="eastAsia" w:ascii="仿宋_GB2312" w:eastAsia="仿宋_GB2312"/>
                <w:sz w:val="32"/>
                <w:szCs w:val="32"/>
              </w:rPr>
              <w:t>对象</w:t>
            </w:r>
          </w:p>
        </w:tc>
        <w:tc>
          <w:tcPr>
            <w:tcW w:w="4770" w:type="dxa"/>
            <w:tcBorders>
              <w:left w:val="single" w:color="auto" w:sz="4" w:space="0"/>
              <w:right w:val="single" w:color="auto" w:sz="4" w:space="0"/>
            </w:tcBorders>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 xml:space="preserve">金华 徐彩芬 倪敏 殷利丹 </w:t>
            </w:r>
          </w:p>
        </w:tc>
        <w:tc>
          <w:tcPr>
            <w:tcW w:w="885" w:type="dxa"/>
            <w:tcBorders>
              <w:left w:val="single" w:color="auto" w:sz="4" w:space="0"/>
              <w:right w:val="single" w:color="auto" w:sz="4" w:space="0"/>
            </w:tcBorders>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访谈时间</w:t>
            </w:r>
          </w:p>
        </w:tc>
        <w:tc>
          <w:tcPr>
            <w:tcW w:w="2283" w:type="dxa"/>
            <w:tcBorders>
              <w:left w:val="single" w:color="auto" w:sz="4" w:space="0"/>
            </w:tcBorders>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2015.05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25" w:hRule="atLeast"/>
        </w:trPr>
        <w:tc>
          <w:tcPr>
            <w:tcW w:w="959" w:type="dxa"/>
            <w:tcBorders>
              <w:right w:val="single" w:color="auto" w:sz="4" w:space="0"/>
            </w:tcBorders>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访</w:t>
            </w:r>
          </w:p>
          <w:p>
            <w:pPr>
              <w:adjustRightInd w:val="0"/>
              <w:snapToGrid w:val="0"/>
              <w:jc w:val="center"/>
              <w:rPr>
                <w:rFonts w:hint="eastAsia" w:ascii="仿宋_GB2312" w:eastAsia="仿宋_GB2312"/>
                <w:sz w:val="32"/>
                <w:szCs w:val="32"/>
              </w:rPr>
            </w:pPr>
            <w:r>
              <w:rPr>
                <w:rFonts w:hint="eastAsia" w:ascii="仿宋_GB2312" w:eastAsia="仿宋_GB2312"/>
                <w:sz w:val="32"/>
                <w:szCs w:val="32"/>
              </w:rPr>
              <w:t>谈</w:t>
            </w:r>
          </w:p>
          <w:p>
            <w:pPr>
              <w:adjustRightInd w:val="0"/>
              <w:snapToGrid w:val="0"/>
              <w:jc w:val="center"/>
              <w:rPr>
                <w:rFonts w:hint="eastAsia" w:ascii="仿宋_GB2312" w:eastAsia="仿宋_GB2312"/>
                <w:sz w:val="32"/>
                <w:szCs w:val="32"/>
              </w:rPr>
            </w:pPr>
            <w:r>
              <w:rPr>
                <w:rFonts w:hint="eastAsia" w:ascii="仿宋_GB2312" w:eastAsia="仿宋_GB2312"/>
                <w:sz w:val="32"/>
                <w:szCs w:val="32"/>
              </w:rPr>
              <w:t>问</w:t>
            </w:r>
          </w:p>
          <w:p>
            <w:pPr>
              <w:adjustRightInd w:val="0"/>
              <w:snapToGrid w:val="0"/>
              <w:jc w:val="center"/>
              <w:rPr>
                <w:rFonts w:hint="eastAsia" w:ascii="仿宋_GB2312" w:eastAsia="仿宋_GB2312"/>
                <w:sz w:val="32"/>
                <w:szCs w:val="32"/>
              </w:rPr>
            </w:pPr>
            <w:r>
              <w:rPr>
                <w:rFonts w:hint="eastAsia" w:ascii="仿宋_GB2312" w:eastAsia="仿宋_GB2312"/>
                <w:sz w:val="32"/>
                <w:szCs w:val="32"/>
              </w:rPr>
              <w:t>题</w:t>
            </w:r>
          </w:p>
        </w:tc>
        <w:tc>
          <w:tcPr>
            <w:tcW w:w="7938" w:type="dxa"/>
            <w:gridSpan w:val="3"/>
            <w:tcBorders>
              <w:left w:val="single" w:color="auto" w:sz="4" w:space="0"/>
            </w:tcBorders>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如何进行保障各学科学业质量？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9" w:hRule="atLeast"/>
        </w:trPr>
        <w:tc>
          <w:tcPr>
            <w:tcW w:w="959" w:type="dxa"/>
            <w:tcBorders>
              <w:right w:val="single" w:color="auto" w:sz="4" w:space="0"/>
            </w:tcBorders>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访</w:t>
            </w:r>
          </w:p>
          <w:p>
            <w:pPr>
              <w:adjustRightInd w:val="0"/>
              <w:snapToGrid w:val="0"/>
              <w:jc w:val="center"/>
              <w:rPr>
                <w:rFonts w:hint="eastAsia" w:ascii="仿宋_GB2312" w:eastAsia="仿宋_GB2312"/>
                <w:sz w:val="32"/>
                <w:szCs w:val="32"/>
              </w:rPr>
            </w:pPr>
            <w:r>
              <w:rPr>
                <w:rFonts w:hint="eastAsia" w:ascii="仿宋_GB2312" w:eastAsia="仿宋_GB2312"/>
                <w:sz w:val="32"/>
                <w:szCs w:val="32"/>
              </w:rPr>
              <w:t>谈</w:t>
            </w:r>
          </w:p>
          <w:p>
            <w:pPr>
              <w:adjustRightInd w:val="0"/>
              <w:snapToGrid w:val="0"/>
              <w:jc w:val="center"/>
              <w:rPr>
                <w:rFonts w:hint="eastAsia" w:ascii="仿宋_GB2312" w:eastAsia="仿宋_GB2312"/>
                <w:sz w:val="32"/>
                <w:szCs w:val="32"/>
              </w:rPr>
            </w:pPr>
            <w:r>
              <w:rPr>
                <w:rFonts w:hint="eastAsia" w:ascii="仿宋_GB2312" w:eastAsia="仿宋_GB2312"/>
                <w:sz w:val="32"/>
                <w:szCs w:val="32"/>
              </w:rPr>
              <w:t>记</w:t>
            </w:r>
          </w:p>
          <w:p>
            <w:pPr>
              <w:adjustRightInd w:val="0"/>
              <w:snapToGrid w:val="0"/>
              <w:jc w:val="center"/>
              <w:rPr>
                <w:rFonts w:hint="eastAsia" w:ascii="仿宋_GB2312" w:eastAsia="仿宋_GB2312"/>
                <w:sz w:val="32"/>
                <w:szCs w:val="32"/>
              </w:rPr>
            </w:pPr>
            <w:r>
              <w:rPr>
                <w:rFonts w:hint="eastAsia" w:ascii="仿宋_GB2312" w:eastAsia="仿宋_GB2312"/>
                <w:sz w:val="32"/>
                <w:szCs w:val="32"/>
              </w:rPr>
              <w:t>录</w:t>
            </w:r>
          </w:p>
        </w:tc>
        <w:tc>
          <w:tcPr>
            <w:tcW w:w="7938" w:type="dxa"/>
            <w:gridSpan w:val="3"/>
            <w:tcBorders>
              <w:left w:val="single" w:color="auto" w:sz="4" w:space="0"/>
            </w:tcBorders>
            <w:vAlign w:val="center"/>
          </w:tcPr>
          <w:p>
            <w:pPr>
              <w:pStyle w:val="2"/>
              <w:spacing w:before="0" w:beforeAutospacing="0" w:after="0" w:afterAutospacing="0" w:line="360" w:lineRule="auto"/>
              <w:rPr>
                <w:rFonts w:ascii="微软雅黑" w:hAnsi="微软雅黑" w:eastAsia="微软雅黑"/>
                <w:color w:val="323E32"/>
                <w:sz w:val="32"/>
                <w:szCs w:val="32"/>
              </w:rPr>
            </w:pPr>
            <w:r>
              <w:rPr>
                <w:rFonts w:hint="eastAsia" w:ascii="微软雅黑" w:hAnsi="微软雅黑" w:eastAsia="微软雅黑"/>
                <w:color w:val="323E32"/>
                <w:sz w:val="32"/>
                <w:szCs w:val="32"/>
              </w:rPr>
              <w:t>1、</w:t>
            </w:r>
            <w:r>
              <w:rPr>
                <w:rFonts w:hint="eastAsia" w:ascii="微软雅黑" w:hAnsi="微软雅黑" w:eastAsia="微软雅黑"/>
                <w:color w:val="000000"/>
                <w:sz w:val="32"/>
                <w:szCs w:val="32"/>
              </w:rPr>
              <w:t>按规定开齐开足音、体、美、科、信课程，基本配备了专业教师，综合学科质量稳步前进。</w:t>
            </w:r>
          </w:p>
          <w:p>
            <w:pPr>
              <w:pStyle w:val="2"/>
              <w:spacing w:before="0" w:beforeAutospacing="0" w:after="0" w:afterAutospacing="0" w:line="360" w:lineRule="auto"/>
              <w:rPr>
                <w:rFonts w:hint="eastAsia" w:ascii="微软雅黑" w:hAnsi="微软雅黑" w:eastAsia="微软雅黑"/>
                <w:color w:val="000000"/>
                <w:sz w:val="32"/>
                <w:szCs w:val="32"/>
              </w:rPr>
            </w:pPr>
            <w:r>
              <w:rPr>
                <w:rFonts w:hint="eastAsia" w:ascii="微软雅黑" w:hAnsi="微软雅黑" w:eastAsia="微软雅黑"/>
                <w:color w:val="323E32"/>
                <w:sz w:val="32"/>
                <w:szCs w:val="32"/>
              </w:rPr>
              <w:t>2、</w:t>
            </w:r>
            <w:r>
              <w:rPr>
                <w:rFonts w:hint="eastAsia" w:ascii="微软雅黑" w:hAnsi="微软雅黑" w:eastAsia="微软雅黑"/>
                <w:color w:val="000000"/>
                <w:sz w:val="32"/>
                <w:szCs w:val="32"/>
              </w:rPr>
              <w:t>教师对学生作业能做到及时批改、及时反馈，学校对作业量有控制措施。能积极开展“三力驱动，三环交融”幸福作业项目研究，并取得了一定成效。</w:t>
            </w:r>
          </w:p>
          <w:p>
            <w:pPr>
              <w:pStyle w:val="2"/>
              <w:spacing w:before="0" w:beforeAutospacing="0" w:after="0" w:afterAutospacing="0" w:line="360" w:lineRule="auto"/>
              <w:rPr>
                <w:rFonts w:ascii="微软雅黑" w:hAnsi="微软雅黑" w:eastAsia="微软雅黑"/>
                <w:color w:val="323E32"/>
                <w:sz w:val="32"/>
                <w:szCs w:val="32"/>
              </w:rPr>
            </w:pPr>
            <w:r>
              <w:rPr>
                <w:rFonts w:hint="eastAsia" w:ascii="微软雅黑" w:hAnsi="微软雅黑" w:eastAsia="微软雅黑"/>
                <w:color w:val="000000"/>
                <w:sz w:val="32"/>
                <w:szCs w:val="32"/>
              </w:rPr>
              <w:t>3、依据区教研室的各学科学业水平测评方案制定了校本化的学科质量监测方案，制定了学生能级考核年历。</w:t>
            </w:r>
          </w:p>
          <w:p>
            <w:pPr>
              <w:pStyle w:val="2"/>
              <w:spacing w:before="0" w:beforeAutospacing="0" w:after="0" w:afterAutospacing="0" w:line="360" w:lineRule="auto"/>
              <w:rPr>
                <w:rFonts w:ascii="微软雅黑" w:hAnsi="微软雅黑" w:eastAsia="微软雅黑"/>
                <w:color w:val="323E32"/>
                <w:sz w:val="32"/>
                <w:szCs w:val="32"/>
              </w:rPr>
            </w:pPr>
            <w:r>
              <w:rPr>
                <w:rFonts w:hint="eastAsia" w:ascii="微软雅黑" w:hAnsi="微软雅黑" w:eastAsia="微软雅黑"/>
                <w:color w:val="000000"/>
                <w:sz w:val="32"/>
                <w:szCs w:val="32"/>
              </w:rPr>
              <w:t xml:space="preserve">   后续努力：</w:t>
            </w:r>
          </w:p>
          <w:p>
            <w:pPr>
              <w:pStyle w:val="2"/>
              <w:spacing w:before="0" w:beforeAutospacing="0" w:after="0" w:afterAutospacing="0" w:line="360" w:lineRule="auto"/>
              <w:rPr>
                <w:rFonts w:ascii="微软雅黑" w:hAnsi="微软雅黑" w:eastAsia="微软雅黑"/>
                <w:color w:val="000000"/>
                <w:sz w:val="32"/>
                <w:szCs w:val="32"/>
              </w:rPr>
            </w:pPr>
            <w:r>
              <w:rPr>
                <w:rFonts w:hint="eastAsia" w:ascii="微软雅黑" w:hAnsi="微软雅黑" w:eastAsia="微软雅黑"/>
                <w:color w:val="000000"/>
                <w:sz w:val="32"/>
                <w:szCs w:val="32"/>
              </w:rPr>
              <w:t>1、 利用寒暑假对音、体、美、科、信教师进行培训，最大限度地为他们搭建学习、锻炼、展示、提高的发展平台。</w:t>
            </w:r>
          </w:p>
          <w:p>
            <w:pPr>
              <w:pStyle w:val="2"/>
              <w:spacing w:before="0" w:beforeAutospacing="0" w:after="0" w:afterAutospacing="0" w:line="360" w:lineRule="auto"/>
              <w:rPr>
                <w:rFonts w:hint="eastAsia" w:ascii="微软雅黑" w:hAnsi="微软雅黑" w:eastAsia="微软雅黑"/>
                <w:color w:val="323E32"/>
                <w:sz w:val="32"/>
                <w:szCs w:val="32"/>
              </w:rPr>
            </w:pPr>
            <w:r>
              <w:rPr>
                <w:rFonts w:hint="eastAsia" w:ascii="微软雅黑" w:hAnsi="微软雅黑" w:eastAsia="微软雅黑"/>
                <w:color w:val="000000"/>
                <w:sz w:val="32"/>
                <w:szCs w:val="32"/>
              </w:rPr>
              <w:t>2、进一步注重学生个性化的培养，注重学生兴趣爱好的培养。</w:t>
            </w:r>
          </w:p>
        </w:tc>
      </w:tr>
    </w:tbl>
    <w:p>
      <w:pPr>
        <w:rPr>
          <w:rFonts w:hint="eastAsia" w:ascii="仿宋_GB2312" w:eastAsia="仿宋_GB2312"/>
          <w:sz w:val="32"/>
          <w:szCs w:val="32"/>
          <w:u w:val="single"/>
        </w:rPr>
      </w:pPr>
      <w:r>
        <w:rPr>
          <w:rFonts w:hint="eastAsia" w:ascii="仿宋_GB2312" w:eastAsia="仿宋_GB2312"/>
          <w:sz w:val="32"/>
          <w:szCs w:val="32"/>
        </w:rPr>
        <w:t xml:space="preserve">                            责任督学：</w:t>
      </w:r>
      <w:r>
        <w:rPr>
          <w:rFonts w:hint="eastAsia" w:ascii="仿宋_GB2312" w:eastAsia="仿宋_GB2312"/>
          <w:sz w:val="32"/>
          <w:szCs w:val="32"/>
          <w:u w:val="single"/>
        </w:rPr>
        <w:t xml:space="preserve"> 张燕萍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A33CC"/>
    <w:rsid w:val="3B0A33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2016-11-15T03:39:00Z</dcterms:created>
  <dc:creator>Administrator</dc:creator>
  <cp:lastModifiedBy>Administrator</cp:lastModifiedBy>
  <dcterms:modified xsi:type="dcterms:W3CDTF">2016-11-15T03:39:25Z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