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民间游戏</w:t>
      </w:r>
      <w:r>
        <w:rPr>
          <w:rFonts w:hint="eastAsia" w:ascii="宋体" w:hAnsi="宋体" w:cs="宋体"/>
          <w:b/>
          <w:bCs/>
          <w:sz w:val="32"/>
          <w:szCs w:val="32"/>
        </w:rPr>
        <w:t>观察记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录</w:t>
      </w:r>
    </w:p>
    <w:tbl>
      <w:tblPr>
        <w:tblStyle w:val="5"/>
        <w:tblW w:w="9816" w:type="dxa"/>
        <w:jc w:val="center"/>
        <w:tblCellSpacing w:w="0" w:type="dxa"/>
        <w:tblInd w:w="-2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767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  <w:jc w:val="center"/>
        </w:trPr>
        <w:tc>
          <w:tcPr>
            <w:tcW w:w="2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spacing w:before="0" w:beforeAutospacing="0" w:after="0" w:afterAutospacing="0"/>
              <w:ind w:left="1205" w:hanging="1205" w:hangingChars="50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观察对象：</w:t>
            </w:r>
            <w:r>
              <w:rPr>
                <w:rFonts w:hint="eastAsia" w:cs="宋体"/>
                <w:b/>
                <w:color w:val="000000"/>
                <w:lang w:val="en-US" w:eastAsia="zh-CN"/>
              </w:rPr>
              <w:t xml:space="preserve">周鑫彤 </w:t>
            </w:r>
          </w:p>
        </w:tc>
        <w:tc>
          <w:tcPr>
            <w:tcW w:w="7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spacing w:before="0" w:beforeAutospacing="0" w:after="0" w:afterAutospacing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年龄：</w:t>
            </w:r>
            <w:r>
              <w:rPr>
                <w:rFonts w:hint="eastAsia" w:ascii="宋体" w:hAnsi="宋体" w:eastAsia="宋体" w:cs="宋体"/>
                <w:color w:val="000000"/>
              </w:rPr>
              <w:t> </w:t>
            </w:r>
            <w:r>
              <w:rPr>
                <w:rFonts w:hint="eastAsia" w:eastAsia="宋体" w:cs="宋体"/>
                <w:color w:val="000000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spacing w:before="0" w:beforeAutospacing="0" w:after="0" w:afterAutospacing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观察者：</w:t>
            </w:r>
            <w:r>
              <w:rPr>
                <w:rFonts w:hint="eastAsia" w:eastAsia="宋体" w:cs="宋体"/>
                <w:b w:val="0"/>
                <w:bCs/>
                <w:color w:val="000000"/>
                <w:lang w:val="en-US" w:eastAsia="zh-CN"/>
              </w:rPr>
              <w:t>吴小艳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color w:val="000000"/>
              </w:rPr>
              <w:t xml:space="preserve">儿童人数： </w:t>
            </w:r>
            <w:r>
              <w:rPr>
                <w:rFonts w:hint="eastAsia" w:cs="宋体"/>
                <w:b/>
                <w:color w:val="000000"/>
                <w:lang w:val="en-US" w:eastAsia="zh-CN"/>
              </w:rPr>
              <w:t>14人</w:t>
            </w:r>
            <w:r>
              <w:rPr>
                <w:rFonts w:hint="eastAsia" w:ascii="宋体" w:hAnsi="宋体" w:eastAsia="宋体" w:cs="宋体"/>
                <w:b/>
                <w:color w:val="000000"/>
              </w:rPr>
              <w:t xml:space="preserve">      成人人数：</w:t>
            </w:r>
            <w:r>
              <w:rPr>
                <w:rFonts w:hint="eastAsia" w:ascii="宋体" w:hAnsi="宋体" w:eastAsia="宋体" w:cs="宋体"/>
                <w:color w:val="000000"/>
              </w:rPr>
              <w:t>1人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spacing w:before="0" w:beforeAutospacing="0" w:after="0" w:afterAutospacing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观察时间</w:t>
            </w:r>
            <w:r>
              <w:rPr>
                <w:rFonts w:hint="eastAsia" w:eastAsia="宋体" w:cs="宋体"/>
                <w:b/>
                <w:color w:val="000000"/>
                <w:lang w:eastAsia="zh-CN"/>
              </w:rPr>
              <w:t>：</w:t>
            </w:r>
            <w:r>
              <w:rPr>
                <w:rFonts w:hint="eastAsia" w:eastAsia="宋体" w:cs="宋体"/>
                <w:b w:val="0"/>
                <w:bCs/>
                <w:color w:val="000000"/>
                <w:lang w:val="en-US" w:eastAsia="zh-CN"/>
              </w:rPr>
              <w:t>2019.</w:t>
            </w:r>
            <w:r>
              <w:rPr>
                <w:rFonts w:hint="eastAsia" w:cs="宋体"/>
                <w:b w:val="0"/>
                <w:bCs/>
                <w:color w:val="000000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color w:val="000000"/>
              </w:rPr>
              <w:t>观察地点：</w:t>
            </w:r>
            <w:r>
              <w:rPr>
                <w:rFonts w:hint="eastAsia" w:cs="宋体"/>
                <w:b/>
                <w:color w:val="000000"/>
                <w:lang w:val="en-US" w:eastAsia="zh-CN"/>
              </w:rPr>
              <w:t>教室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tabs>
                <w:tab w:val="left" w:pos="5775"/>
              </w:tabs>
              <w:spacing w:before="0" w:beforeAutospacing="0" w:after="0" w:afterAutospacing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观察目的：</w:t>
            </w:r>
            <w:r>
              <w:rPr>
                <w:rFonts w:hint="eastAsia" w:eastAsia="宋体" w:cs="宋体"/>
                <w:b w:val="0"/>
                <w:bCs/>
                <w:color w:val="000000"/>
                <w:lang w:val="en-US" w:eastAsia="zh-CN"/>
              </w:rPr>
              <w:t>幼儿</w:t>
            </w:r>
            <w:r>
              <w:rPr>
                <w:rFonts w:hint="eastAsia" w:cs="宋体"/>
                <w:b w:val="0"/>
                <w:bCs/>
                <w:color w:val="000000"/>
                <w:lang w:val="en-US" w:eastAsia="zh-CN"/>
              </w:rPr>
              <w:t>是否遵守游戏规则及他们的反应能力</w:t>
            </w:r>
            <w:r>
              <w:rPr>
                <w:rFonts w:hint="eastAsia" w:cs="宋体"/>
                <w:b w:val="0"/>
                <w:bCs/>
                <w:color w:val="000000"/>
                <w:lang w:val="en-US" w:eastAsia="zh-CN"/>
              </w:rPr>
              <w:tab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tabs>
                <w:tab w:val="left" w:pos="7365"/>
              </w:tabs>
              <w:spacing w:before="0" w:beforeAutospacing="0" w:after="0" w:afterAutospacing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</w:rPr>
              <w:t>观察内容：</w:t>
            </w:r>
            <w:r>
              <w:rPr>
                <w:rFonts w:hint="eastAsia" w:cs="宋体"/>
                <w:b/>
                <w:color w:val="000000"/>
                <w:lang w:val="en-US" w:eastAsia="zh-CN"/>
              </w:rPr>
              <w:t>在游戏中的一些表现行为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3401695</wp:posOffset>
                  </wp:positionH>
                  <wp:positionV relativeFrom="page">
                    <wp:posOffset>603885</wp:posOffset>
                  </wp:positionV>
                  <wp:extent cx="2687955" cy="2016125"/>
                  <wp:effectExtent l="0" t="0" r="9525" b="10795"/>
                  <wp:wrapNone/>
                  <wp:docPr id="1" name="图片 53" descr="D:\下学期\成长手册\观察记录\IMG20190621150452.jpgIMG20190621150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3" descr="D:\下学期\成长手册\观察记录\IMG20190621150452.jpgIMG2019062115045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7955" cy="201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142240</wp:posOffset>
                  </wp:positionV>
                  <wp:extent cx="2831465" cy="2124075"/>
                  <wp:effectExtent l="0" t="0" r="3175" b="9525"/>
                  <wp:wrapNone/>
                  <wp:docPr id="2" name="图片 3" descr="D:\下学期\成长手册\观察记录\IMG20190621150438.jpgIMG20190621150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D:\下学期\成长手册\观察记录\IMG20190621150438.jpgIMG2019062115043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46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21590</wp:posOffset>
                  </wp:positionV>
                  <wp:extent cx="2750185" cy="2062480"/>
                  <wp:effectExtent l="0" t="0" r="8255" b="10160"/>
                  <wp:wrapSquare wrapText="bothSides"/>
                  <wp:docPr id="3" name="图片 3" descr="D:\下学期\成长手册\观察记录\IMG20190621150521.jpgIMG20190621150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\下学期\成长手册\观察记录\IMG20190621150521.jpgIMG2019062115052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185" cy="206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21590</wp:posOffset>
                  </wp:positionV>
                  <wp:extent cx="2749550" cy="2062480"/>
                  <wp:effectExtent l="0" t="0" r="8890" b="10160"/>
                  <wp:wrapNone/>
                  <wp:docPr id="4" name="图片 4" descr="D:\下学期\成长手册\观察记录\IMG20190621150632.jpgIMG20190621150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\下学期\成长手册\观察记录\IMG20190621150632.jpgIMG2019062115063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0" cy="206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</w:pPr>
          </w:p>
          <w:p>
            <w:pPr>
              <w:pStyle w:val="4"/>
              <w:spacing w:before="0" w:beforeAutospacing="0" w:after="0" w:afterAutospacing="0" w:line="360" w:lineRule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lang w:eastAsia="zh-CN"/>
              </w:rPr>
              <w:t>观察记录：</w:t>
            </w:r>
          </w:p>
          <w:p>
            <w:pPr>
              <w:pStyle w:val="4"/>
              <w:spacing w:before="0" w:beforeAutospacing="0" w:after="0" w:afterAutospacing="0" w:line="360" w:lineRule="auto"/>
              <w:ind w:firstLine="480" w:firstLineChars="200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lang w:val="en-US" w:eastAsia="zh-CN"/>
              </w:rPr>
              <w:t>活动开始了，首先老师介绍游戏规则，几个小朋友扮演小老鼠，其他小朋友手拉手围成一个圈搭老鼠笼，并念：“老鼠，老鼠坏东西，偷吃粮食，偷吃米，我们搭个老鼠笼，卡啦！抓住你”。扮演小老鼠的小朋友不停的钻进钻出，当念到“卡啦！抓住你”时，小朋友们都蹲下，在圈里的“小老鼠”就被抓住了，就得坐在圈内，继续抓其他“小老鼠。”接下来游戏开始了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eastAsia" w:cs="微软雅黑"/>
                <w:b/>
                <w:color w:val="000000"/>
              </w:rPr>
            </w:pPr>
            <w:r>
              <w:rPr>
                <w:rFonts w:hint="eastAsia" w:cs="微软雅黑"/>
                <w:b/>
                <w:color w:val="000000"/>
              </w:rPr>
              <w:t>分析解读：</w:t>
            </w:r>
          </w:p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Chars="0"/>
              <w:rPr>
                <w:rFonts w:hint="eastAsia" w:cs="微软雅黑"/>
                <w:b w:val="0"/>
                <w:bCs/>
                <w:color w:val="000000"/>
                <w:lang w:eastAsia="zh-CN"/>
              </w:rPr>
            </w:pPr>
            <w:r>
              <w:rPr>
                <w:rFonts w:hint="eastAsia" w:cs="微软雅黑"/>
                <w:b w:val="0"/>
                <w:bCs/>
                <w:color w:val="000000"/>
              </w:rPr>
              <w:t>学理依据</w:t>
            </w:r>
            <w:r>
              <w:rPr>
                <w:rFonts w:hint="eastAsia" w:cs="微软雅黑"/>
                <w:b w:val="0"/>
                <w:bCs/>
                <w:color w:val="000000"/>
                <w:lang w:eastAsia="zh-CN"/>
              </w:rPr>
              <w:t>：</w:t>
            </w:r>
          </w:p>
          <w:p>
            <w:pPr>
              <w:pStyle w:val="4"/>
              <w:numPr>
                <w:ilvl w:val="0"/>
                <w:numId w:val="0"/>
              </w:numPr>
              <w:spacing w:before="0" w:beforeAutospacing="0" w:after="0" w:afterAutospacing="0" w:line="360" w:lineRule="auto"/>
              <w:rPr>
                <w:rFonts w:hint="eastAsia" w:cs="微软雅黑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cs="微软雅黑"/>
                <w:b w:val="0"/>
                <w:bCs/>
                <w:color w:val="000000"/>
                <w:lang w:val="en-US" w:eastAsia="zh-CN"/>
              </w:rPr>
              <w:t>（1）《指南》中健康领域 动作发展 目标1 具有一定的平衡能力，动作协调、灵敏：</w:t>
            </w:r>
          </w:p>
          <w:p>
            <w:pPr>
              <w:pStyle w:val="4"/>
              <w:numPr>
                <w:ilvl w:val="0"/>
                <w:numId w:val="0"/>
              </w:numPr>
              <w:spacing w:before="0" w:beforeAutospacing="0" w:after="0" w:afterAutospacing="0" w:line="360" w:lineRule="auto"/>
              <w:rPr>
                <w:rFonts w:hint="eastAsia" w:cs="微软雅黑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cs="微软雅黑"/>
                <w:b w:val="0"/>
                <w:bCs/>
                <w:color w:val="000000"/>
                <w:lang w:val="en-US" w:eastAsia="zh-CN"/>
              </w:rPr>
              <w:t>分散跑时能躲避他人的碰撞。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eastAsia" w:cs="微软雅黑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cs="微软雅黑"/>
                <w:b w:val="0"/>
                <w:bCs/>
                <w:color w:val="000000"/>
                <w:lang w:eastAsia="zh-CN"/>
              </w:rPr>
              <w:t>《指南》中社会领域目标</w:t>
            </w:r>
            <w:r>
              <w:rPr>
                <w:rFonts w:hint="eastAsia" w:cs="微软雅黑"/>
                <w:b w:val="0"/>
                <w:bCs/>
                <w:color w:val="000000"/>
                <w:lang w:val="en-US" w:eastAsia="zh-CN"/>
              </w:rPr>
              <w:t>1愿意与人交往：。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default" w:cs="微软雅黑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cs="微软雅黑"/>
                <w:b w:val="0"/>
                <w:bCs/>
                <w:color w:val="000000"/>
                <w:lang w:val="en-US" w:eastAsia="zh-CN"/>
              </w:rPr>
              <w:t>愿意和小朋友一起游戏。</w:t>
            </w:r>
          </w:p>
          <w:p>
            <w:pPr>
              <w:pStyle w:val="4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0" w:leftChars="0" w:firstLine="0" w:firstLineChars="0"/>
              <w:rPr>
                <w:rFonts w:hint="eastAsia" w:cs="微软雅黑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cs="微软雅黑"/>
                <w:b w:val="0"/>
                <w:bCs/>
                <w:color w:val="000000"/>
                <w:lang w:val="en-US" w:eastAsia="zh-CN"/>
              </w:rPr>
              <w:t>《指南》中语言领域目标2愿意讲话并能清楚地表达：</w:t>
            </w:r>
          </w:p>
          <w:p>
            <w:pPr>
              <w:pStyle w:val="4"/>
              <w:numPr>
                <w:ilvl w:val="0"/>
                <w:numId w:val="0"/>
              </w:numPr>
              <w:spacing w:before="0" w:beforeAutospacing="0" w:after="0" w:afterAutospacing="0" w:line="360" w:lineRule="auto"/>
              <w:ind w:leftChars="0"/>
              <w:rPr>
                <w:rFonts w:hint="default" w:cs="微软雅黑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cs="微软雅黑"/>
                <w:b w:val="0"/>
                <w:bCs/>
                <w:color w:val="000000"/>
                <w:lang w:val="en-US" w:eastAsia="zh-CN"/>
              </w:rPr>
              <w:t>能口齿清楚地说儿歌、童谣后复述简短的故事。</w:t>
            </w:r>
          </w:p>
          <w:p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360" w:lineRule="auto"/>
              <w:ind w:left="0" w:leftChars="0" w:firstLine="0" w:firstLineChars="0"/>
              <w:rPr>
                <w:rFonts w:hint="eastAsia" w:cs="微软雅黑"/>
                <w:b w:val="0"/>
                <w:bCs/>
                <w:color w:val="000000"/>
                <w:lang w:eastAsia="zh-CN"/>
              </w:rPr>
            </w:pPr>
            <w:r>
              <w:rPr>
                <w:rFonts w:hint="eastAsia" w:cs="微软雅黑"/>
                <w:b w:val="0"/>
                <w:bCs/>
                <w:color w:val="000000"/>
                <w:lang w:eastAsia="zh-CN"/>
              </w:rPr>
              <w:t>具体分析</w:t>
            </w:r>
            <w:r>
              <w:rPr>
                <w:rFonts w:hint="eastAsia" w:cs="微软雅黑"/>
                <w:b w:val="0"/>
                <w:bCs/>
                <w:color w:val="000000"/>
                <w:lang w:val="en-US" w:eastAsia="zh-CN"/>
              </w:rPr>
              <w:t>事实性结论</w:t>
            </w:r>
            <w:r>
              <w:rPr>
                <w:rFonts w:hint="eastAsia" w:cs="微软雅黑"/>
                <w:b w:val="0"/>
                <w:bCs/>
                <w:color w:val="000000"/>
                <w:lang w:eastAsia="zh-CN"/>
              </w:rPr>
              <w:t>：</w:t>
            </w:r>
          </w:p>
          <w:p>
            <w:pPr>
              <w:pStyle w:val="4"/>
              <w:numPr>
                <w:ilvl w:val="0"/>
                <w:numId w:val="0"/>
              </w:numPr>
              <w:spacing w:before="0" w:beforeAutospacing="0" w:after="0" w:afterAutospacing="0" w:line="360" w:lineRule="auto"/>
              <w:ind w:leftChars="0" w:firstLine="480" w:firstLineChars="200"/>
              <w:rPr>
                <w:rFonts w:hint="default" w:cs="微软雅黑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cs="微软雅黑"/>
                <w:b w:val="0"/>
                <w:bCs w:val="0"/>
                <w:color w:val="000000"/>
                <w:lang w:val="en-US" w:eastAsia="zh-CN"/>
              </w:rPr>
              <w:t>在整个游戏过程中，周鑫彤跑时能绕着圆圈迅速奔跑，说明她们反应灵敏。乐意一起游戏。在表演节目时都能口齿清楚地唱儿歌。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tblCellSpacing w:w="0" w:type="dxa"/>
          <w:jc w:val="center"/>
        </w:trPr>
        <w:tc>
          <w:tcPr>
            <w:tcW w:w="98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color w:val="00000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</w:rPr>
              <w:t>支持跟进：</w:t>
            </w:r>
          </w:p>
          <w:p>
            <w:pPr>
              <w:pStyle w:val="4"/>
              <w:numPr>
                <w:ilvl w:val="0"/>
                <w:numId w:val="3"/>
              </w:numPr>
              <w:spacing w:line="360" w:lineRule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lang w:val="en-US" w:eastAsia="zh-CN"/>
              </w:rPr>
              <w:t>在经后的活动中多为幼儿创造说话的机会并体验语言交往的乐趣。</w:t>
            </w:r>
          </w:p>
          <w:p>
            <w:pPr>
              <w:pStyle w:val="4"/>
              <w:numPr>
                <w:ilvl w:val="0"/>
                <w:numId w:val="3"/>
              </w:numPr>
              <w:spacing w:line="360" w:lineRule="auto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lang w:val="en-US" w:eastAsia="zh-CN"/>
              </w:rPr>
              <w:t>发展幼儿动作的协调性和灵活性。平时多鼓励幼儿进行跑跳、钻爬、攀登等活动。</w:t>
            </w:r>
          </w:p>
          <w:p>
            <w:pPr>
              <w:pStyle w:val="4"/>
              <w:numPr>
                <w:ilvl w:val="0"/>
                <w:numId w:val="3"/>
              </w:numPr>
              <w:spacing w:line="360" w:lineRule="auto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lang w:val="en-US" w:eastAsia="zh-CN"/>
              </w:rPr>
              <w:t>在经后多主动亲近和关心幼儿，经常和他们一起游戏，让他们感受到交往的快乐。</w:t>
            </w:r>
          </w:p>
          <w:p>
            <w:pPr>
              <w:pStyle w:val="4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p>
      <w:pPr>
        <w:jc w:val="center"/>
        <w:rPr>
          <w:rFonts w:hint="eastAsia" w:ascii="宋体" w:hAnsi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AC94EF"/>
    <w:multiLevelType w:val="singleLevel"/>
    <w:tmpl w:val="D9AC94EF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E47D2CA6"/>
    <w:multiLevelType w:val="singleLevel"/>
    <w:tmpl w:val="E47D2CA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4CA6552"/>
    <w:multiLevelType w:val="singleLevel"/>
    <w:tmpl w:val="F4CA655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C3125"/>
    <w:rsid w:val="00037B4A"/>
    <w:rsid w:val="00067E46"/>
    <w:rsid w:val="000C353A"/>
    <w:rsid w:val="00132818"/>
    <w:rsid w:val="001A7C05"/>
    <w:rsid w:val="001B6A54"/>
    <w:rsid w:val="001C38AA"/>
    <w:rsid w:val="001D5475"/>
    <w:rsid w:val="001E020C"/>
    <w:rsid w:val="001F382C"/>
    <w:rsid w:val="001F7067"/>
    <w:rsid w:val="00263C17"/>
    <w:rsid w:val="002910FE"/>
    <w:rsid w:val="00291C79"/>
    <w:rsid w:val="00293332"/>
    <w:rsid w:val="002C6EA6"/>
    <w:rsid w:val="002D7067"/>
    <w:rsid w:val="002E2365"/>
    <w:rsid w:val="002F4301"/>
    <w:rsid w:val="003143A6"/>
    <w:rsid w:val="00362DEC"/>
    <w:rsid w:val="003671C5"/>
    <w:rsid w:val="00374973"/>
    <w:rsid w:val="003772CE"/>
    <w:rsid w:val="003A3D4D"/>
    <w:rsid w:val="003B173D"/>
    <w:rsid w:val="003E320C"/>
    <w:rsid w:val="00401571"/>
    <w:rsid w:val="00417A91"/>
    <w:rsid w:val="004533B8"/>
    <w:rsid w:val="00497D0B"/>
    <w:rsid w:val="004D5CD1"/>
    <w:rsid w:val="004F2EAE"/>
    <w:rsid w:val="00542354"/>
    <w:rsid w:val="00557112"/>
    <w:rsid w:val="00572E97"/>
    <w:rsid w:val="00590DF9"/>
    <w:rsid w:val="005A2259"/>
    <w:rsid w:val="005D5D5E"/>
    <w:rsid w:val="00600F11"/>
    <w:rsid w:val="006135BE"/>
    <w:rsid w:val="00672E71"/>
    <w:rsid w:val="00686C40"/>
    <w:rsid w:val="006924A1"/>
    <w:rsid w:val="00692BA6"/>
    <w:rsid w:val="006C71A3"/>
    <w:rsid w:val="007F611C"/>
    <w:rsid w:val="00832431"/>
    <w:rsid w:val="00834B9E"/>
    <w:rsid w:val="00891CA8"/>
    <w:rsid w:val="0097481D"/>
    <w:rsid w:val="009F57F9"/>
    <w:rsid w:val="00A115F0"/>
    <w:rsid w:val="00A12C95"/>
    <w:rsid w:val="00A1622B"/>
    <w:rsid w:val="00A27927"/>
    <w:rsid w:val="00A30EFC"/>
    <w:rsid w:val="00AA1407"/>
    <w:rsid w:val="00AB08D6"/>
    <w:rsid w:val="00AC2A51"/>
    <w:rsid w:val="00B66994"/>
    <w:rsid w:val="00B73AD2"/>
    <w:rsid w:val="00BB4E6F"/>
    <w:rsid w:val="00BB588B"/>
    <w:rsid w:val="00BC76AD"/>
    <w:rsid w:val="00C03C34"/>
    <w:rsid w:val="00C11514"/>
    <w:rsid w:val="00C26F80"/>
    <w:rsid w:val="00C326F8"/>
    <w:rsid w:val="00C92722"/>
    <w:rsid w:val="00CB3D2F"/>
    <w:rsid w:val="00CD3086"/>
    <w:rsid w:val="00CE6007"/>
    <w:rsid w:val="00D16AC1"/>
    <w:rsid w:val="00D32E7D"/>
    <w:rsid w:val="00D54748"/>
    <w:rsid w:val="00D7589E"/>
    <w:rsid w:val="00D80265"/>
    <w:rsid w:val="00DC341C"/>
    <w:rsid w:val="00DE7136"/>
    <w:rsid w:val="00DF5D69"/>
    <w:rsid w:val="00E42EEB"/>
    <w:rsid w:val="00E45DC2"/>
    <w:rsid w:val="00E56D14"/>
    <w:rsid w:val="00E6070A"/>
    <w:rsid w:val="00E73E2B"/>
    <w:rsid w:val="00E97367"/>
    <w:rsid w:val="00EA0DF8"/>
    <w:rsid w:val="00EB70EB"/>
    <w:rsid w:val="00EC1BBC"/>
    <w:rsid w:val="00F04DA6"/>
    <w:rsid w:val="00F52B07"/>
    <w:rsid w:val="00F53054"/>
    <w:rsid w:val="00F533D8"/>
    <w:rsid w:val="00FC11DC"/>
    <w:rsid w:val="025039F6"/>
    <w:rsid w:val="0F254A37"/>
    <w:rsid w:val="11BF4F0A"/>
    <w:rsid w:val="1233785A"/>
    <w:rsid w:val="12B81C12"/>
    <w:rsid w:val="154D30D1"/>
    <w:rsid w:val="19EA0E50"/>
    <w:rsid w:val="1D553B0F"/>
    <w:rsid w:val="21E52525"/>
    <w:rsid w:val="23E82BEA"/>
    <w:rsid w:val="24DC1FEF"/>
    <w:rsid w:val="26095780"/>
    <w:rsid w:val="2DEE1E9F"/>
    <w:rsid w:val="311F0BE5"/>
    <w:rsid w:val="398930AA"/>
    <w:rsid w:val="3AB85C10"/>
    <w:rsid w:val="3B715447"/>
    <w:rsid w:val="3B84416A"/>
    <w:rsid w:val="3D98059B"/>
    <w:rsid w:val="3E7A33E2"/>
    <w:rsid w:val="3FA5325B"/>
    <w:rsid w:val="41E50F7D"/>
    <w:rsid w:val="439B389D"/>
    <w:rsid w:val="49544495"/>
    <w:rsid w:val="4B3511E0"/>
    <w:rsid w:val="4EFA1C4D"/>
    <w:rsid w:val="525D0934"/>
    <w:rsid w:val="547A54A2"/>
    <w:rsid w:val="581879E9"/>
    <w:rsid w:val="5DCC3125"/>
    <w:rsid w:val="5EF56D56"/>
    <w:rsid w:val="5F18263D"/>
    <w:rsid w:val="61D722AE"/>
    <w:rsid w:val="65F83C7C"/>
    <w:rsid w:val="663C214A"/>
    <w:rsid w:val="679639B2"/>
    <w:rsid w:val="679A3F4A"/>
    <w:rsid w:val="687256A6"/>
    <w:rsid w:val="68801C2C"/>
    <w:rsid w:val="6B9641CC"/>
    <w:rsid w:val="6C680733"/>
    <w:rsid w:val="6C712897"/>
    <w:rsid w:val="6E573D1A"/>
    <w:rsid w:val="71C07FDF"/>
    <w:rsid w:val="737A4E2A"/>
    <w:rsid w:val="73BE56C4"/>
    <w:rsid w:val="75031A68"/>
    <w:rsid w:val="78703E12"/>
    <w:rsid w:val="7A087B5C"/>
    <w:rsid w:val="7AE27187"/>
    <w:rsid w:val="7C262518"/>
    <w:rsid w:val="7C9700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0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semiHidden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442</Words>
  <Characters>2520</Characters>
  <Lines>21</Lines>
  <Paragraphs>5</Paragraphs>
  <TotalTime>43</TotalTime>
  <ScaleCrop>false</ScaleCrop>
  <LinksUpToDate>false</LinksUpToDate>
  <CharactersWithSpaces>2957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2018-11-04T15:51:00Z</dcterms:created>
  <dc:creator>Administrator</dc:creator>
  <cp:lastModifiedBy>诺丽-ivy</cp:lastModifiedBy>
  <cp:lastPrinted>2019-06-24T05:48:00Z</cp:lastPrinted>
  <dcterms:modified xsi:type="dcterms:W3CDTF">2019-06-28T04:48:09Z</dcterms:modified>
  <dc:title>春江幼儿园“自主游戏”活动记录表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