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28"/>
          <w:szCs w:val="28"/>
        </w:rPr>
      </w:pPr>
      <w:r>
        <w:rPr>
          <w:rFonts w:hint="eastAsia"/>
          <w:b/>
          <w:sz w:val="28"/>
          <w:szCs w:val="28"/>
        </w:rPr>
        <w:t>“农村小学开展‘童话育美’的实践研究”</w:t>
      </w:r>
    </w:p>
    <w:p>
      <w:pPr>
        <w:jc w:val="center"/>
        <w:rPr>
          <w:rFonts w:hint="eastAsia"/>
          <w:b/>
          <w:sz w:val="28"/>
          <w:szCs w:val="28"/>
        </w:rPr>
      </w:pPr>
      <w:r>
        <w:rPr>
          <w:rFonts w:hint="eastAsia"/>
          <w:b/>
          <w:sz w:val="28"/>
          <w:szCs w:val="28"/>
        </w:rPr>
        <w:t>课题研究理论学习记载表</w:t>
      </w:r>
    </w:p>
    <w:tbl>
      <w:tblPr>
        <w:tblStyle w:val="2"/>
        <w:tblW w:w="9108"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188"/>
        <w:gridCol w:w="4500"/>
        <w:gridCol w:w="1260"/>
        <w:gridCol w:w="216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1188" w:type="dxa"/>
            <w:vMerge w:val="restart"/>
            <w:vAlign w:val="center"/>
          </w:tcPr>
          <w:p>
            <w:pPr>
              <w:jc w:val="center"/>
              <w:rPr>
                <w:rFonts w:hint="eastAsia"/>
                <w:b/>
                <w:sz w:val="24"/>
              </w:rPr>
            </w:pPr>
            <w:r>
              <w:rPr>
                <w:rFonts w:hint="eastAsia"/>
                <w:b/>
                <w:sz w:val="24"/>
              </w:rPr>
              <w:t>学习主题</w:t>
            </w:r>
          </w:p>
        </w:tc>
        <w:tc>
          <w:tcPr>
            <w:tcW w:w="4500" w:type="dxa"/>
            <w:vMerge w:val="restart"/>
            <w:vAlign w:val="center"/>
          </w:tcPr>
          <w:p>
            <w:pPr>
              <w:rPr>
                <w:rFonts w:hint="eastAsia" w:eastAsiaTheme="minorEastAsia"/>
                <w:b/>
                <w:sz w:val="24"/>
                <w:lang w:eastAsia="zh-CN"/>
              </w:rPr>
            </w:pPr>
            <w:r>
              <w:rPr>
                <w:rFonts w:hint="eastAsia"/>
                <w:b/>
                <w:sz w:val="24"/>
                <w:lang w:eastAsia="zh-CN"/>
              </w:rPr>
              <w:t>童话中的男性进化史</w:t>
            </w:r>
          </w:p>
        </w:tc>
        <w:tc>
          <w:tcPr>
            <w:tcW w:w="1260" w:type="dxa"/>
            <w:vAlign w:val="center"/>
          </w:tcPr>
          <w:p>
            <w:pPr>
              <w:jc w:val="center"/>
              <w:rPr>
                <w:rFonts w:hint="eastAsia"/>
                <w:b/>
                <w:sz w:val="24"/>
              </w:rPr>
            </w:pPr>
            <w:r>
              <w:rPr>
                <w:rFonts w:hint="eastAsia"/>
                <w:b/>
                <w:sz w:val="24"/>
              </w:rPr>
              <w:t>姓    名</w:t>
            </w:r>
          </w:p>
        </w:tc>
        <w:tc>
          <w:tcPr>
            <w:tcW w:w="2160" w:type="dxa"/>
            <w:vAlign w:val="center"/>
          </w:tcPr>
          <w:p>
            <w:pPr>
              <w:jc w:val="center"/>
              <w:rPr>
                <w:rFonts w:hint="eastAsia" w:eastAsia="宋体"/>
                <w:b/>
                <w:sz w:val="24"/>
                <w:lang w:eastAsia="zh-CN"/>
              </w:rPr>
            </w:pPr>
            <w:r>
              <w:rPr>
                <w:rFonts w:hint="eastAsia" w:eastAsia="宋体"/>
                <w:b/>
                <w:sz w:val="24"/>
                <w:lang w:eastAsia="zh-CN"/>
              </w:rPr>
              <w:t>张瑜</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1188" w:type="dxa"/>
            <w:vMerge w:val="continue"/>
            <w:vAlign w:val="center"/>
          </w:tcPr>
          <w:p>
            <w:pPr>
              <w:jc w:val="center"/>
              <w:rPr>
                <w:rFonts w:hint="eastAsia"/>
                <w:b/>
                <w:sz w:val="24"/>
              </w:rPr>
            </w:pPr>
          </w:p>
        </w:tc>
        <w:tc>
          <w:tcPr>
            <w:tcW w:w="4500" w:type="dxa"/>
            <w:vMerge w:val="continue"/>
            <w:vAlign w:val="center"/>
          </w:tcPr>
          <w:p>
            <w:pPr>
              <w:jc w:val="center"/>
              <w:rPr>
                <w:rFonts w:hint="eastAsia"/>
                <w:b/>
                <w:sz w:val="24"/>
              </w:rPr>
            </w:pPr>
          </w:p>
        </w:tc>
        <w:tc>
          <w:tcPr>
            <w:tcW w:w="1260" w:type="dxa"/>
            <w:vAlign w:val="center"/>
          </w:tcPr>
          <w:p>
            <w:pPr>
              <w:jc w:val="center"/>
              <w:rPr>
                <w:rFonts w:hint="eastAsia"/>
                <w:b/>
                <w:sz w:val="24"/>
              </w:rPr>
            </w:pPr>
            <w:r>
              <w:rPr>
                <w:rFonts w:hint="eastAsia"/>
                <w:b/>
                <w:sz w:val="24"/>
              </w:rPr>
              <w:t>学习时间</w:t>
            </w:r>
          </w:p>
        </w:tc>
        <w:tc>
          <w:tcPr>
            <w:tcW w:w="2160" w:type="dxa"/>
            <w:vAlign w:val="center"/>
          </w:tcPr>
          <w:p>
            <w:pPr>
              <w:rPr>
                <w:rFonts w:hint="default" w:eastAsiaTheme="minorEastAsia"/>
                <w:b/>
                <w:sz w:val="24"/>
                <w:lang w:val="en-US" w:eastAsia="zh-CN"/>
              </w:rPr>
            </w:pPr>
            <w:r>
              <w:rPr>
                <w:rFonts w:hint="eastAsia"/>
                <w:b/>
                <w:sz w:val="24"/>
                <w:lang w:val="en-US" w:eastAsia="zh-CN"/>
              </w:rPr>
              <w:t>2019.3</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1188" w:type="dxa"/>
            <w:vAlign w:val="center"/>
          </w:tcPr>
          <w:p>
            <w:pPr>
              <w:jc w:val="center"/>
              <w:rPr>
                <w:rFonts w:hint="eastAsia"/>
                <w:b/>
                <w:sz w:val="24"/>
              </w:rPr>
            </w:pPr>
            <w:r>
              <w:rPr>
                <w:rFonts w:hint="eastAsia"/>
                <w:b/>
                <w:sz w:val="24"/>
              </w:rPr>
              <w:t>内容摘要</w:t>
            </w:r>
          </w:p>
        </w:tc>
        <w:tc>
          <w:tcPr>
            <w:tcW w:w="7920"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firstLine="480" w:firstLineChars="200"/>
              <w:textAlignment w:val="auto"/>
              <w:outlineLvl w:val="9"/>
              <w:rPr>
                <w:rFonts w:hint="eastAsia" w:ascii="宋体" w:hAnsi="宋体"/>
                <w:b/>
                <w:sz w:val="24"/>
              </w:rPr>
            </w:pPr>
            <w:r>
              <w:rPr>
                <w:rFonts w:hint="eastAsia" w:asciiTheme="minorEastAsia" w:hAnsiTheme="minorEastAsia" w:eastAsiaTheme="minorEastAsia" w:cstheme="minorEastAsia"/>
                <w:b w:val="0"/>
                <w:bCs/>
                <w:sz w:val="24"/>
              </w:rPr>
              <w:t>这是一部熔童话故事和男性智慧于一炉的奇书。美国荣格派精神分析学家艾伦·B.知念用亲近当代读者的语言重述了数十篇精选自世界各地的经典男性童话，通过对精灵、巫师、国王等男性主人公形象的精妙解析，挖掘出了尘封于时间与心灵深处的古老男性原型，带领读者去重新认识男性行为背后的深层缘由，为那</w:t>
            </w:r>
            <w:bookmarkStart w:id="0" w:name="_GoBack"/>
            <w:bookmarkEnd w:id="0"/>
            <w:r>
              <w:rPr>
                <w:rFonts w:hint="eastAsia" w:asciiTheme="minorEastAsia" w:hAnsiTheme="minorEastAsia" w:eastAsiaTheme="minorEastAsia" w:cstheme="minorEastAsia"/>
                <w:b w:val="0"/>
                <w:bCs/>
                <w:sz w:val="24"/>
              </w:rPr>
              <w:t>些已经或即将踏上内心之旅的男人提供了一幅地图。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1188" w:type="dxa"/>
            <w:vAlign w:val="center"/>
          </w:tcPr>
          <w:p>
            <w:pPr>
              <w:jc w:val="center"/>
              <w:rPr>
                <w:rFonts w:hint="eastAsia"/>
                <w:b/>
                <w:sz w:val="24"/>
              </w:rPr>
            </w:pPr>
            <w:r>
              <w:rPr>
                <w:rFonts w:hint="eastAsia"/>
                <w:b/>
                <w:sz w:val="24"/>
              </w:rPr>
              <w:t>心得体会</w:t>
            </w:r>
          </w:p>
        </w:tc>
        <w:tc>
          <w:tcPr>
            <w:tcW w:w="7920"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宋体" w:hAnsi="宋体" w:eastAsia="宋体"/>
                <w:sz w:val="24"/>
                <w:lang w:eastAsia="zh-CN"/>
              </w:rPr>
            </w:pPr>
            <w:r>
              <w:rPr>
                <w:rFonts w:hint="eastAsia" w:ascii="宋体" w:hAnsi="宋体" w:eastAsia="宋体"/>
                <w:sz w:val="24"/>
                <w:lang w:eastAsia="zh-CN"/>
              </w:rPr>
              <w:t xml:space="preserve">童话里关于男性的故事，往往是英雄的成长史。一个平凡的男孩响应命运的召唤，孤身一人去往未知的远方。这趟旅途充满艰辛和危险，但男孩凭借勇敢完成了蜕变。这类童话到男孩成为英雄就结束了。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宋体" w:hAnsi="宋体" w:eastAsia="宋体"/>
                <w:sz w:val="24"/>
                <w:lang w:eastAsia="zh-CN"/>
              </w:rPr>
            </w:pPr>
            <w:r>
              <w:rPr>
                <w:rFonts w:hint="eastAsia" w:ascii="宋体" w:hAnsi="宋体" w:eastAsia="宋体"/>
                <w:sz w:val="24"/>
                <w:lang w:eastAsia="zh-CN"/>
              </w:rPr>
              <w:t>英雄不可能永远是英雄。琐碎而平淡的日子会日复一日地把英雄掩盖起来，直至把他逼入生活的死角。这个阶段的男性面对的生活难题不亚于他们年青时遇到的巨龙和恶魔。如何和生活和解，是他们面临的新问题。  与生活和解的答案，就藏在作者对八个成人童话的解读里。有一句话说得好，事实不重要，对事实的解读才重要。</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宋体" w:hAnsi="宋体" w:eastAsia="宋体"/>
                <w:sz w:val="24"/>
                <w:lang w:eastAsia="zh-CN"/>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89153B"/>
    <w:rsid w:val="1589153B"/>
    <w:rsid w:val="212002D8"/>
    <w:rsid w:val="400B1E20"/>
    <w:rsid w:val="47127DA4"/>
    <w:rsid w:val="55444818"/>
    <w:rsid w:val="57BD4A47"/>
    <w:rsid w:val="6AF94B27"/>
    <w:rsid w:val="700F29A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2018-06-20T12:38:00Z</dcterms:created>
  <dc:creator>Administrator</dc:creator>
  <cp:lastModifiedBy>Administrator</cp:lastModifiedBy>
  <dcterms:modified xsi:type="dcterms:W3CDTF">2019-06-20T08:04:17Z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