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“农村小学开展‘童话育美’的实践研究”</w:t>
      </w:r>
    </w:p>
    <w:p>
      <w:pPr>
        <w:jc w:val="center"/>
        <w:rPr>
          <w:rFonts w:hint="eastAsia"/>
          <w:b/>
          <w:sz w:val="28"/>
          <w:szCs w:val="28"/>
        </w:rPr>
      </w:pPr>
      <w:r>
        <w:rPr>
          <w:rFonts w:hint="eastAsia"/>
          <w:b/>
          <w:sz w:val="28"/>
          <w:szCs w:val="28"/>
        </w:rPr>
        <w:t>课题研究理论学习记载表</w:t>
      </w:r>
    </w:p>
    <w:tbl>
      <w:tblPr>
        <w:tblStyle w:val="2"/>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c>
          <w:tcPr>
            <w:tcW w:w="1188" w:type="dxa"/>
            <w:vMerge w:val="restart"/>
            <w:vAlign w:val="center"/>
          </w:tcPr>
          <w:p>
            <w:pPr>
              <w:jc w:val="center"/>
              <w:rPr>
                <w:rFonts w:hint="eastAsia"/>
                <w:b/>
                <w:sz w:val="24"/>
              </w:rPr>
            </w:pPr>
            <w:r>
              <w:rPr>
                <w:rFonts w:hint="eastAsia"/>
                <w:b/>
                <w:sz w:val="24"/>
              </w:rPr>
              <w:t>学习主题</w:t>
            </w:r>
          </w:p>
        </w:tc>
        <w:tc>
          <w:tcPr>
            <w:tcW w:w="4500" w:type="dxa"/>
            <w:vMerge w:val="restart"/>
            <w:vAlign w:val="center"/>
          </w:tcPr>
          <w:p>
            <w:pPr>
              <w:rPr>
                <w:rFonts w:hint="eastAsia" w:eastAsiaTheme="minorEastAsia"/>
                <w:b/>
                <w:sz w:val="24"/>
                <w:lang w:eastAsia="zh-CN"/>
              </w:rPr>
            </w:pPr>
            <w:r>
              <w:rPr>
                <w:rFonts w:hint="eastAsia"/>
                <w:b/>
                <w:sz w:val="24"/>
                <w:lang w:eastAsia="zh-CN"/>
              </w:rPr>
              <w:t>大人心理童话</w:t>
            </w:r>
          </w:p>
        </w:tc>
        <w:tc>
          <w:tcPr>
            <w:tcW w:w="1260" w:type="dxa"/>
            <w:vAlign w:val="center"/>
          </w:tcPr>
          <w:p>
            <w:pPr>
              <w:jc w:val="center"/>
              <w:rPr>
                <w:rFonts w:hint="eastAsia"/>
                <w:b/>
                <w:sz w:val="24"/>
              </w:rPr>
            </w:pPr>
            <w:r>
              <w:rPr>
                <w:rFonts w:hint="eastAsia"/>
                <w:b/>
                <w:sz w:val="24"/>
              </w:rPr>
              <w:t>姓    名</w:t>
            </w:r>
          </w:p>
        </w:tc>
        <w:tc>
          <w:tcPr>
            <w:tcW w:w="2160" w:type="dxa"/>
            <w:vAlign w:val="center"/>
          </w:tcPr>
          <w:p>
            <w:pPr>
              <w:jc w:val="center"/>
              <w:rPr>
                <w:rFonts w:hint="eastAsia" w:eastAsia="宋体"/>
                <w:b/>
                <w:sz w:val="24"/>
                <w:lang w:eastAsia="zh-CN"/>
              </w:rPr>
            </w:pPr>
            <w:r>
              <w:rPr>
                <w:rFonts w:hint="eastAsia" w:eastAsia="宋体"/>
                <w:b/>
                <w:sz w:val="24"/>
                <w:lang w:eastAsia="zh-CN"/>
              </w:rPr>
              <w:t>张瑜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c>
          <w:tcPr>
            <w:tcW w:w="1188" w:type="dxa"/>
            <w:vMerge w:val="continue"/>
            <w:vAlign w:val="center"/>
          </w:tcPr>
          <w:p>
            <w:pPr>
              <w:jc w:val="center"/>
              <w:rPr>
                <w:rFonts w:hint="eastAsia"/>
                <w:b/>
                <w:sz w:val="24"/>
              </w:rPr>
            </w:pPr>
          </w:p>
        </w:tc>
        <w:tc>
          <w:tcPr>
            <w:tcW w:w="4500" w:type="dxa"/>
            <w:vMerge w:val="continue"/>
            <w:vAlign w:val="center"/>
          </w:tcPr>
          <w:p>
            <w:pPr>
              <w:jc w:val="center"/>
              <w:rPr>
                <w:rFonts w:hint="eastAsia"/>
                <w:b/>
                <w:sz w:val="24"/>
              </w:rPr>
            </w:pPr>
          </w:p>
        </w:tc>
        <w:tc>
          <w:tcPr>
            <w:tcW w:w="1260" w:type="dxa"/>
            <w:vAlign w:val="center"/>
          </w:tcPr>
          <w:p>
            <w:pPr>
              <w:jc w:val="center"/>
              <w:rPr>
                <w:rFonts w:hint="eastAsia"/>
                <w:b/>
                <w:sz w:val="24"/>
              </w:rPr>
            </w:pPr>
            <w:r>
              <w:rPr>
                <w:rFonts w:hint="eastAsia"/>
                <w:b/>
                <w:sz w:val="24"/>
              </w:rPr>
              <w:t>学习时间</w:t>
            </w:r>
          </w:p>
        </w:tc>
        <w:tc>
          <w:tcPr>
            <w:tcW w:w="2160" w:type="dxa"/>
            <w:vAlign w:val="center"/>
          </w:tcPr>
          <w:p>
            <w:pPr>
              <w:rPr>
                <w:rFonts w:hint="default" w:eastAsiaTheme="minorEastAsia"/>
                <w:b/>
                <w:sz w:val="24"/>
                <w:lang w:val="en-US" w:eastAsia="zh-CN"/>
              </w:rPr>
            </w:pPr>
            <w:r>
              <w:rPr>
                <w:rFonts w:hint="eastAsia"/>
                <w:b/>
                <w:sz w:val="24"/>
                <w:lang w:val="en-US" w:eastAsia="zh-CN"/>
              </w:rPr>
              <w:t>2019.4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b/>
                <w:sz w:val="24"/>
              </w:rPr>
            </w:pPr>
            <w:r>
              <w:rPr>
                <w:rFonts w:hint="eastAsia" w:asciiTheme="minorEastAsia" w:hAnsiTheme="minorEastAsia" w:eastAsiaTheme="minorEastAsia" w:cstheme="minorEastAsia"/>
                <w:b w:val="0"/>
                <w:bCs/>
                <w:sz w:val="24"/>
              </w:rPr>
              <w:t>《大人心理童话》是广西师大出版社魔法象阅读学园推出的作品之一。 从《灰姑娘》到《白雪公主》，它们的情节都如出一辙：年轻的男女主人公坠入爱河，战胜强敌，从此过上幸福的生活。而本书的内容则和接下来发生的故事有关，中年童话故事中的男男女女在家庭和工作的繁重需要之间疲于奔命，同自我怀疑和幻灭感</w:t>
            </w:r>
            <w:bookmarkStart w:id="0" w:name="_GoBack"/>
            <w:bookmarkEnd w:id="0"/>
            <w:r>
              <w:rPr>
                <w:rFonts w:hint="eastAsia" w:asciiTheme="minorEastAsia" w:hAnsiTheme="minorEastAsia" w:eastAsiaTheme="minorEastAsia" w:cstheme="minorEastAsia"/>
                <w:b w:val="0"/>
                <w:bCs/>
                <w:sz w:val="24"/>
              </w:rPr>
              <w:t>苦苦角力，最终拨云见日，发现人生深层的新意义。本书中所收录的中年童话以及作者精妙的解析，为身处种种矛盾和怀疑之中的人们带来了充满睿智和希望的启示。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白雪公主》讲述的是少女进入青春期与母亲形成的竞争关系，《三只小猪》反映了现实原则与享乐原则的冲突。”“童话可以帮助儿童争取获得更成熟的意识以化解和澄清他们混乱的无意识压力。”美国心理学家布鲁诺·贝特尔海姆（Bruno Bettelheim）在其著作《童话的魅力》中，称《白雪公主》《三只小猪》这样广为流传的儿童故事对于儿童的心理发展有着深远的影响。他说，当许多现代儿童文学作品对于那些“源自原始冲动和强烈情感的深刻内心冲突”都避而不谈时，童话可以帮助孩童直面人生最初的孤独、无助和焦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而童话仅仅是关于儿童的吗？或者说，仅仅是关于孩童如何认识世界、认知自己的吗？在《意大利童话》里，卡尔维诺从大量反映现实贫穷、爱情焦虑的意大利童话中总结道，童话的模式是一种抽象化的人类命运：“童话是世间男男女女命运的索引，尤其对于生命中受命运只配的那一部分人而言：从出生那天起，我们的青春就一直带有某种征兆或宿命，于是我们离家出走，设法长大成人，变得成熟起来，以证实为人之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童话以象征性的语言，具有普遍性的人物形象，表达出人们千百年来的经验，不光是给孩子的，更是给世间人的，而眼下的这本书《大人心理童话》（Once Upon a Midlife）的主角就不再是青少年时期的王子公主，而是逐渐面对人生真相的中年人——他们是技艺不佳、朝不保夕的鞋匠夫妇，是婚后生活吵闹不休的妻子丈夫，还有面对老之将至、害怕死去的百万富翁。他们面貌不再年轻美丽，命运不再光芒万丈，他们的生活为什么要写进童话里去？而这些故事又能够告诉我们什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选取了中年童话并以此解读中年困境的作者艾伦·B·知念（Allan B. Chinen）如此说道， “童话产生于久远的过去，那时的人们几乎将战争、贫困、瘟疫和暴行视为人生必不可少的部分而坦然接受因此，童话故事天然包含了应对悲剧和邪恶的深刻见解；童话为成人提供了一条连接无意识的通途，这一点对中年而言尤为重要，因为人到中年会因担忧各种现实而失去内省能力。” 也就是说，童话不仅可以帮助孩童面对人生最初的困境，对于中年危机也有“无意识的”安慰作用。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153B"/>
    <w:rsid w:val="1589153B"/>
    <w:rsid w:val="1BAB1F6D"/>
    <w:rsid w:val="212002D8"/>
    <w:rsid w:val="24A73764"/>
    <w:rsid w:val="47127DA4"/>
    <w:rsid w:val="55444818"/>
    <w:rsid w:val="57BD4A47"/>
    <w:rsid w:val="6AF94B27"/>
    <w:rsid w:val="700F29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Administrator</cp:lastModifiedBy>
  <dcterms:modified xsi:type="dcterms:W3CDTF">2019-06-20T08:05:06Z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