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黑体" w:hAnsi="黑体" w:eastAsia="黑体" w:cs="黑体"/>
          <w:b w:val="0"/>
          <w:bCs w:val="0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黑体" w:hAnsi="黑体" w:eastAsia="黑体" w:cs="黑体"/>
          <w:b w:val="0"/>
          <w:bCs w:val="0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《按不同标准分类》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教学反思</w:t>
      </w:r>
    </w:p>
    <w:bookmarkEnd w:id="0"/>
    <w:p>
      <w:pPr>
        <w:spacing w:line="360" w:lineRule="auto"/>
        <w:ind w:firstLine="480" w:firstLineChars="200"/>
        <w:rPr>
          <w:sz w:val="24"/>
          <w:szCs w:val="32"/>
        </w:rPr>
      </w:pPr>
      <w:r>
        <w:rPr>
          <w:rFonts w:hint="eastAsia"/>
          <w:sz w:val="24"/>
          <w:szCs w:val="32"/>
        </w:rPr>
        <w:t>《按不同标准分类》是学生初次接触统计活动。通过这部分内容的教学，可以使学生初步体验数据的收集、整理和分析过程，初步积累数据整理和分析的经验。本节课主要是结合学生熟悉的事物，让学生经历分类的活动，体会分类的思想方法，感受分类在生活中的用途。我以小组讨论、合作等形式组织课堂教学。引导学生围绕“想一想，你打算怎样分类？。上完这节课我有如下感想：</w:t>
      </w:r>
    </w:p>
    <w:p>
      <w:pPr>
        <w:spacing w:line="360" w:lineRule="auto"/>
        <w:ind w:firstLine="480" w:firstLineChars="200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数学是来源于生活，又应用于生活。教学的例题是学生熟悉的、感兴趣的，又蕴含着十分丰富的信息。面对这样的情境，学生自然会要了解更多信息的愿望。我在教学时，先引导学生说说：图中有哪些人，分别在做什么？再说一说：还想知道些什么？进而提出不同的问题。在此基础上，指出“要弄清楚这些问题，可以把途中的人先分类整理”同时引导学生讨论分类的标准和方法。接着要求学生小组合作，选择一种标准分一分，并用自己的方法表示分类的结果。这样学生有主动学习的兴趣和机会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7C36B1"/>
    <w:rsid w:val="6E7C36B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Office_11.1.0.8500_F1E327BC-269C-435d-A152-05C5408002CA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2019-03-04T10:12:00Z</dcterms:created>
  <dc:creator>HMF1386911497</dc:creator>
  <cp:lastModifiedBy>HMF1386911497</cp:lastModifiedBy>
  <dcterms:modified xsi:type="dcterms:W3CDTF">2019-03-04T10:14:32Z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