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TW" w:eastAsia="zh-TW"/>
        </w:rPr>
        <w:t xml:space="preserve">高跟鞋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</w:rPr>
        <w:t xml:space="preserve">　　 </w:t>
      </w:r>
      <w:r>
        <w:rPr>
          <w:rFonts w:ascii="Lantinghei SC Extralight"/>
          <w:color w:val="323232"/>
          <w:sz w:val="28"/>
          <w:szCs w:val="28"/>
          <w:rtl w:val="0"/>
        </w:rPr>
        <w:t>15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世纪的一位威尼斯商人经常要出门做生意，又担心妻子会外出风流。一个雨天，他走在街道上，鞋后跟沾了许多泥，因而步履艰难。商人由此受到启发，因为威尼斯是座水城，船是主要的交通工具，商人认为妻子穿上高跟鞋将无法在跳板上行走，这样就可以把她困在家里。岂料，他的妻子穿上这双鞋子，感到十分新奇，就由佣人陪伴，上船下船，到处游玩。高跟鞋使她更加婀娜多姿，讲求时髦的女士争相效仿，高跟鞋便很快地盛行起来了。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