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eastAsia="黑体"/>
          <w:sz w:val="32"/>
          <w:szCs w:val="32"/>
          <w:lang w:eastAsia="zh-CN"/>
        </w:rPr>
        <w:t>园本乐课程的开发</w:t>
      </w:r>
      <w:r>
        <w:rPr>
          <w:rFonts w:hint="eastAsia" w:ascii="黑体" w:eastAsia="黑体"/>
          <w:sz w:val="32"/>
          <w:szCs w:val="32"/>
        </w:rPr>
        <w:t>研究》</w:t>
      </w:r>
    </w:p>
    <w:p>
      <w:pPr>
        <w:jc w:val="center"/>
        <w:rPr>
          <w:rFonts w:ascii="黑体" w:eastAsia="黑体"/>
          <w:sz w:val="32"/>
          <w:szCs w:val="32"/>
        </w:rPr>
      </w:pPr>
      <w:r>
        <w:rPr>
          <w:rFonts w:hint="eastAsia" w:ascii="黑体" w:eastAsia="黑体"/>
          <w:sz w:val="32"/>
          <w:szCs w:val="32"/>
        </w:rPr>
        <w:t>读书笔记</w:t>
      </w:r>
    </w:p>
    <w:tbl>
      <w:tblPr>
        <w:tblStyle w:val="2"/>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hint="eastAsia" w:ascii="宋体" w:hAnsi="宋体" w:eastAsia="宋体"/>
                <w:sz w:val="24"/>
                <w:lang w:eastAsia="zh-CN"/>
              </w:rPr>
            </w:pPr>
            <w:r>
              <w:rPr>
                <w:rFonts w:hint="eastAsia" w:ascii="宋体" w:hAnsi="宋体"/>
                <w:sz w:val="24"/>
              </w:rPr>
              <w:t>201</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3</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ascii="宋体" w:hAnsi="宋体"/>
                <w:sz w:val="24"/>
              </w:rPr>
              <w:t>网络</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spacing w:line="360" w:lineRule="auto"/>
              <w:rPr>
                <w:sz w:val="24"/>
              </w:rPr>
            </w:pPr>
            <w:r>
              <w:rPr>
                <w:rFonts w:hint="eastAsia"/>
                <w:sz w:val="24"/>
              </w:rPr>
              <w:t>内容：</w:t>
            </w:r>
          </w:p>
          <w:p>
            <w:pPr>
              <w:spacing w:line="360" w:lineRule="auto"/>
              <w:ind w:firstLine="480" w:firstLineChars="200"/>
              <w:rPr>
                <w:rFonts w:hint="eastAsia"/>
                <w:sz w:val="24"/>
              </w:rPr>
            </w:pPr>
            <w:r>
              <w:rPr>
                <w:rFonts w:hint="eastAsia"/>
                <w:sz w:val="24"/>
              </w:rPr>
              <w:t>无锡市后宅中心幼儿园以纸艺为办园特色，致力于纸艺课题的探索和研究。从“十五”的《纸艺园本课程研究》 到“十一五”规划课题《主题背景下幼儿纸艺特色活动的研究》，再到“十二五”的省教育科学规划课题《整合教育理念下的幼儿纸艺特色课程开发研究》，十多年一路走来，幼儿园以慧眼发现、以慧心探索纸的价值，开展纸雕、纸塑、纸浆、环保纸艺等系列纸艺活动。</w:t>
            </w:r>
          </w:p>
          <w:p>
            <w:pPr>
              <w:spacing w:line="360" w:lineRule="auto"/>
              <w:ind w:firstLine="480" w:firstLineChars="200"/>
              <w:rPr>
                <w:rFonts w:hint="eastAsia"/>
                <w:sz w:val="24"/>
              </w:rPr>
            </w:pPr>
            <w:r>
              <w:rPr>
                <w:rFonts w:hint="eastAsia"/>
                <w:sz w:val="24"/>
              </w:rPr>
              <w:t>幼儿园以童心、童乐、童趣、童韵、童情为基础，构建纸艺特色课程。在综合考虑内容选择、创作方法、过程评价等各方面因素后，幼儿园制定并不断调整各纸艺类型阶段发展目标，使纸艺活动贴近孩子生活，符合幼儿年龄特点、生理特点和认知特点。教师们对民间纸艺进行儿童化处理，在剪、刻、撕为主的基础上开发了纸塑、纸雕、纸编、纸浆等课程内容，让孩子们在充满童心童趣的纸艺活动中丰富认知、发展思维、迸发创意、探求奥秘、愉悦身心、习惯养成，同时感知纸艺文化的魅力。纸艺如春雨，润泽幼儿园的每一个角落，如花儿飘香，濡染每一个孩子的童年。</w:t>
            </w:r>
          </w:p>
          <w:p>
            <w:pPr>
              <w:spacing w:line="360" w:lineRule="auto"/>
              <w:ind w:firstLine="480" w:firstLineChars="200"/>
              <w:rPr>
                <w:rFonts w:hint="eastAsia"/>
                <w:sz w:val="24"/>
              </w:rPr>
            </w:pPr>
            <w:r>
              <w:rPr>
                <w:rFonts w:hint="eastAsia"/>
                <w:sz w:val="24"/>
              </w:rPr>
              <w:t>幼儿园每个班内都设有纸艺特色区，是幼儿园的亮点所在。在区域游戏活动中，老师根据纸艺主题活动的目标和幼儿发展的水平有目的创设活动环境、投放活动材料，让幼儿按照自己的意愿、能力进行自主创作。每班有不同于其他班级的特色，老师根据本班实际情况设置空间、投放材料，形成班级特色美术区域链，开设多种美术活动，满足孩子的不同创作需求。例如，纸浆特色的班级相应开设陶泥区、橡皮泥区，环保纸艺和纸雕特色的班级开设版画区、拓印区，纸塑特色的班级开设了蛋糕店、线描画等多种美术区，各区域间既相互联系又各有特色。在自主的区域游戏中，孩子们或个体或合作，在美术创作的空间里乐此不疲，往而不返。</w:t>
            </w:r>
          </w:p>
          <w:p>
            <w:pPr>
              <w:spacing w:line="360" w:lineRule="auto"/>
              <w:ind w:firstLine="480" w:firstLineChars="200"/>
              <w:rPr>
                <w:rFonts w:hint="eastAsia"/>
                <w:sz w:val="24"/>
              </w:rPr>
            </w:pPr>
            <w:r>
              <w:rPr>
                <w:rFonts w:hint="eastAsia"/>
                <w:sz w:val="24"/>
              </w:rPr>
              <w:t>幼儿园注重创设纸艺环境，让环境说话、让环境影响幼儿，使孩子们在具有浓郁纸艺特色的环境中感受、欣赏和创作，在创作和环境的相互作用中促进孩子全面发展。</w:t>
            </w:r>
          </w:p>
          <w:p>
            <w:pPr>
              <w:spacing w:line="360" w:lineRule="auto"/>
              <w:ind w:firstLine="480" w:firstLineChars="200"/>
              <w:rPr>
                <w:rFonts w:hint="eastAsia"/>
                <w:sz w:val="24"/>
              </w:rPr>
            </w:pPr>
            <w:r>
              <w:rPr>
                <w:rFonts w:hint="eastAsia"/>
                <w:sz w:val="24"/>
              </w:rPr>
              <w:t xml:space="preserve"> 幼儿园将幼儿的纸艺作品布置于公共廊道、楼梯等进行展示，它可以是一幅热闹的“老鼠娶亲”，它可以是一墙生动的“疯狂动物城”，它可以是一片“花的海洋”，它可以是一个热闹的“主题公园”，立体的、平面的，纸浆、纸塑、纸雕，不同的创作手法各显神通，多姿作品各领风骚，构成幼儿园一道靓丽的风景线，形成幼儿园独特的艺术氛围。</w:t>
            </w:r>
          </w:p>
          <w:p>
            <w:pPr>
              <w:spacing w:line="360" w:lineRule="auto"/>
              <w:ind w:firstLine="480" w:firstLineChars="200"/>
              <w:rPr>
                <w:rFonts w:hint="eastAsia"/>
                <w:sz w:val="24"/>
              </w:rPr>
            </w:pPr>
            <w:bookmarkStart w:id="0" w:name="_GoBack"/>
            <w:bookmarkEnd w:id="0"/>
            <w:r>
              <w:rPr>
                <w:rFonts w:hint="eastAsia"/>
                <w:sz w:val="24"/>
              </w:rPr>
              <w:t>各班根据主题，将课程中有关内容运用纸艺的形式进行表现，再将幼儿创作的作品进行审美展示于班级中的某一面墙上。幼儿园每学期定期进行幼儿纸艺作品展示活动，将幼儿的纸艺作品通过欣赏、展览的方式进行展示，让幼儿充分体验各种作品所带来的愉悦和美感，使孩子获得纸艺创作的成就感。此外，幼儿园还定期开展亲子纸艺秀活动，孩子和家长通过做一做、秀一秀、乐一乐的创作活动，间接地促使家长重视和感受幼儿园的纸艺特色、体验纸艺的美。有时，幼儿园还会通过邀请园外老师、专家参与评选和点评，或者对外开放纸艺活动，向同行及社会展示幼儿园纸艺特色。</w:t>
            </w:r>
          </w:p>
          <w:p>
            <w:pPr>
              <w:spacing w:line="360" w:lineRule="auto"/>
              <w:ind w:firstLine="480" w:firstLineChars="2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spacing w:line="360" w:lineRule="auto"/>
              <w:ind w:firstLine="480" w:firstLineChars="200"/>
              <w:rPr>
                <w:sz w:val="24"/>
              </w:rPr>
            </w:pPr>
            <w:r>
              <w:rPr>
                <w:rFonts w:hint="eastAsia"/>
                <w:sz w:val="24"/>
              </w:rPr>
              <w:t>教师的专业成长离不开“实践反思、同伴互助和专业引领”，而“磨课”则是这三位一体的综合体现，“磨课聊吧”正是顺应现代生活的产物，为青年教师提供了充分展示自我和锻炼成长的校本教研平台，也为其他教师提供了一个相互学习、交流、探讨的机会。</w:t>
            </w: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variable"/>
    <w:sig w:usb0="00000003" w:usb1="288F0000" w:usb2="00000006" w:usb3="00000000" w:csb0="00040001" w:csb1="00000000"/>
  </w:font>
  <w:font w:name="Cambria Math">
    <w:panose1 w:val="02040503050406030204"/>
    <w:charset w:val="01"/>
    <w:family w:val="auto"/>
    <w:pitch w:val="variable"/>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6442A0"/>
    <w:rsid w:val="3F644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2019-04-02T08:21:00Z</dcterms:created>
  <dc:creator>hp</dc:creator>
  <cp:lastModifiedBy>hp</cp:lastModifiedBy>
  <dcterms:modified xsi:type="dcterms:W3CDTF">2019-04-02T08:27:27Z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