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微软雅黑" w:hAnsi="微软雅黑" w:eastAsia="微软雅黑"/>
          <w:b/>
          <w:bCs/>
          <w:color w:val="FF000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FF0000"/>
          <w:sz w:val="36"/>
          <w:szCs w:val="36"/>
        </w:rPr>
        <w:t>领略天府之国</w:t>
      </w:r>
      <w:r>
        <w:rPr>
          <w:rFonts w:ascii="微软雅黑" w:hAnsi="微软雅黑" w:eastAsia="微软雅黑" w:cs="宋体"/>
          <w:b/>
          <w:bCs/>
          <w:color w:val="FF0000"/>
          <w:sz w:val="36"/>
          <w:szCs w:val="36"/>
        </w:rPr>
        <w:t xml:space="preserve">  </w:t>
      </w:r>
      <w:r>
        <w:rPr>
          <w:rFonts w:hint="eastAsia" w:ascii="微软雅黑" w:hAnsi="微软雅黑" w:eastAsia="微软雅黑" w:cs="宋体"/>
          <w:b/>
          <w:bCs/>
          <w:color w:val="FF0000"/>
          <w:sz w:val="36"/>
          <w:szCs w:val="36"/>
        </w:rPr>
        <w:t>走进美丽成都</w:t>
      </w:r>
    </w:p>
    <w:p>
      <w:pPr>
        <w:spacing w:line="0" w:lineRule="atLeast"/>
        <w:jc w:val="center"/>
        <w:rPr>
          <w:rFonts w:ascii="微软雅黑" w:hAnsi="微软雅黑" w:eastAsia="微软雅黑"/>
          <w:b/>
          <w:bCs/>
          <w:color w:val="000000"/>
          <w:sz w:val="24"/>
          <w:szCs w:val="24"/>
          <w:lang w:val="zh-CN"/>
        </w:rPr>
      </w:pPr>
      <w:r>
        <w:rPr>
          <w:rFonts w:ascii="微软雅黑" w:hAnsi="微软雅黑" w:eastAsia="微软雅黑" w:cs="宋体"/>
          <w:b/>
          <w:bCs/>
          <w:color w:val="000000"/>
          <w:sz w:val="24"/>
          <w:szCs w:val="24"/>
          <w:lang w:val="zh-CN"/>
        </w:rPr>
        <w:t>201</w:t>
      </w:r>
      <w:r>
        <w:rPr>
          <w:rFonts w:ascii="微软雅黑" w:hAnsi="微软雅黑" w:eastAsia="微软雅黑" w:cs="宋体"/>
          <w:b/>
          <w:bCs/>
          <w:color w:val="000000"/>
          <w:sz w:val="24"/>
          <w:szCs w:val="24"/>
        </w:rPr>
        <w:t>7</w:t>
      </w: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4"/>
          <w:lang w:val="zh-CN"/>
        </w:rPr>
        <w:t>成都</w:t>
      </w: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4"/>
        </w:rPr>
        <w:t>研学</w:t>
      </w: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4"/>
          <w:lang w:val="zh-CN"/>
        </w:rPr>
        <w:t>营</w:t>
      </w:r>
    </w:p>
    <w:p>
      <w:pPr>
        <w:spacing w:line="0" w:lineRule="atLeast"/>
        <w:rPr>
          <w:rFonts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4"/>
        </w:rPr>
        <w:t>【修学课程简介】</w:t>
      </w:r>
    </w:p>
    <w:p>
      <w:pPr>
        <w:spacing w:line="0" w:lineRule="atLeast"/>
        <w:ind w:firstLine="420" w:firstLineChars="200"/>
        <w:rPr>
          <w:rFonts w:ascii="微软雅黑" w:hAnsi="微软雅黑" w:eastAsia="微软雅黑" w:cs="宋体"/>
          <w:color w:val="000000"/>
        </w:rPr>
      </w:pPr>
      <w:r>
        <w:rPr>
          <w:rFonts w:ascii="微软雅黑" w:hAnsi="微软雅黑" w:eastAsia="微软雅黑" w:cs="宋体"/>
          <w:color w:val="000000"/>
          <w:kern w:val="0"/>
        </w:rPr>
        <w:t xml:space="preserve"> </w:t>
      </w:r>
      <w:r>
        <w:rPr>
          <w:rFonts w:hint="eastAsia" w:ascii="微软雅黑" w:hAnsi="微软雅黑" w:eastAsia="微软雅黑" w:cs="宋体"/>
          <w:color w:val="000000"/>
        </w:rPr>
        <w:t>“</w:t>
      </w:r>
      <w:r>
        <w:rPr>
          <w:rFonts w:hint="eastAsia" w:ascii="微软雅黑" w:hAnsi="微软雅黑" w:eastAsia="微软雅黑"/>
          <w:color w:val="000000"/>
          <w:shd w:val="clear" w:color="auto" w:fill="FFFFFF"/>
        </w:rPr>
        <w:t>九天开出一成都，万户千门入画图</w:t>
      </w:r>
      <w:r>
        <w:rPr>
          <w:rFonts w:hint="eastAsia" w:ascii="微软雅黑" w:hAnsi="微软雅黑" w:eastAsia="微软雅黑" w:cs="宋体"/>
          <w:color w:val="000000"/>
        </w:rPr>
        <w:t>”，成都平原沃野千里，依仗都江堰的水利工程，自古以来富足丰饶，拥“天府之国”之美誉。</w:t>
      </w:r>
    </w:p>
    <w:p>
      <w:pPr>
        <w:spacing w:line="0" w:lineRule="atLeast"/>
        <w:ind w:firstLine="420" w:firstLineChars="20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你可以在宽窄巷子信步悠游、怡然自乐，在都江堰凭吊先贤，领略中华民族智慧的雄壮惊奇之美，在三星堆和金沙遗址惊叹历史变迁之美，看精彩绝伦的长嘴壶茶艺表演，在老戏院为妙绝百变的川剧大声喝彩，在传统工厂感受漆器和银丝花的魅力，在古法酒厂体验百年古窖的白酒芬芳，在熊猫基地融国宝大熊猫的憨态可掬于笑声里，成都之旅带你走进天府之国，开启文化体验之旅。</w:t>
      </w:r>
    </w:p>
    <w:tbl>
      <w:tblPr>
        <w:tblStyle w:val="5"/>
        <w:tblpPr w:leftFromText="180" w:rightFromText="180" w:vertAnchor="text" w:horzAnchor="page" w:tblpX="1882" w:tblpY="2335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935"/>
        <w:gridCol w:w="2540"/>
        <w:gridCol w:w="112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课程时间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课程安排</w: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课程主题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课程链接</w:t>
            </w:r>
          </w:p>
        </w:tc>
        <w:tc>
          <w:tcPr>
            <w:tcW w:w="2415" w:type="dxa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第一天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常州-成都 高铁时间待告</w: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</w:p>
        </w:tc>
        <w:tc>
          <w:tcPr>
            <w:tcW w:w="2415" w:type="dxa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接高铁后根据时间安排宵夜后入住酒店休息。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第二天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参观【大熊猫基地】【金沙遗址】【三星堆遗址】</w: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古蜀文化主题，“蚕丛及鱼凫，开国何茫然”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成都发源之谜</w:t>
            </w:r>
          </w:p>
        </w:tc>
        <w:tc>
          <w:tcPr>
            <w:tcW w:w="2415" w:type="dxa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午餐：广汉中餐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晚餐：成都川菜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第三天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参观【都江堰水利工程】【青城山】</w: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天府之国主题，从都江堰水利工程到天下幽之青城山，古蜀泽国到天府之国的演变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天府之国的由来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</w:p>
        </w:tc>
        <w:tc>
          <w:tcPr>
            <w:tcW w:w="2415" w:type="dxa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午餐：青城德兴（川菜）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晚餐：锦宴楼（川菜）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第四天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参观【川菜博物馆】【宽窄巷子】【川剧变脸】</w: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川菜文化的演变过程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最成都的宽窄巷子及川剧变脸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地道成都生活</w:t>
            </w:r>
          </w:p>
        </w:tc>
        <w:tc>
          <w:tcPr>
            <w:tcW w:w="2415" w:type="dxa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午餐：川菜博物馆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晚餐：成都小吃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第五天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参观【成都市博物馆】【水井坊博物馆】【漆器】【四川大学】【太古里】</w: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成都文化主题，领略成都非遗传承,动手体验感受传统文化之美丽。成都市井文化和特色表演，并走进成都大学校园提前感受大学生活。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地道成都生活</w:t>
            </w:r>
          </w:p>
        </w:tc>
        <w:tc>
          <w:tcPr>
            <w:tcW w:w="2415" w:type="dxa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午餐：巴国布衣</w:t>
            </w:r>
          </w:p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晚餐：成都火锅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第六天</w:t>
            </w:r>
          </w:p>
        </w:tc>
        <w:tc>
          <w:tcPr>
            <w:tcW w:w="193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成都-常州 高铁时间待告</w:t>
            </w:r>
          </w:p>
        </w:tc>
        <w:tc>
          <w:tcPr>
            <w:tcW w:w="2540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回到温暖的家</w:t>
            </w:r>
          </w:p>
        </w:tc>
        <w:tc>
          <w:tcPr>
            <w:tcW w:w="1125" w:type="dxa"/>
            <w:shd w:val="clear" w:color="auto" w:fill="auto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</w:p>
        </w:tc>
        <w:tc>
          <w:tcPr>
            <w:tcW w:w="2415" w:type="dxa"/>
          </w:tcPr>
          <w:p>
            <w:pPr>
              <w:spacing w:line="0" w:lineRule="atLeast"/>
              <w:rPr>
                <w:rFonts w:ascii="微软雅黑" w:hAnsi="微软雅黑" w:eastAsia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</w:rPr>
              <w:t>早餐后根据高铁时间送站后结束行程</w:t>
            </w:r>
          </w:p>
        </w:tc>
      </w:tr>
    </w:tbl>
    <w:p>
      <w:pPr>
        <w:spacing w:line="0" w:lineRule="atLeast"/>
        <w:rPr>
          <w:rFonts w:ascii="微软雅黑" w:hAnsi="微软雅黑" w:eastAsia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4"/>
        </w:rPr>
        <w:t>【修学课程特色】</w:t>
      </w:r>
    </w:p>
    <w:p>
      <w:pPr>
        <w:numPr>
          <w:ilvl w:val="0"/>
          <w:numId w:val="1"/>
        </w:numPr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修学课程</w:t>
      </w:r>
      <w:r>
        <w:rPr>
          <w:rFonts w:ascii="微软雅黑" w:hAnsi="微软雅黑" w:eastAsia="微软雅黑" w:cs="宋体"/>
          <w:color w:val="000000"/>
        </w:rPr>
        <w:t xml:space="preserve"> </w:t>
      </w:r>
      <w:r>
        <w:rPr>
          <w:rFonts w:hint="eastAsia" w:ascii="微软雅黑" w:hAnsi="微软雅黑" w:eastAsia="微软雅黑" w:cs="宋体"/>
          <w:color w:val="000000"/>
        </w:rPr>
        <w:t>寓教于乐</w:t>
      </w:r>
      <w:r>
        <w:rPr>
          <w:rFonts w:ascii="微软雅黑" w:hAnsi="微软雅黑" w:eastAsia="微软雅黑" w:cs="宋体"/>
          <w:color w:val="000000"/>
        </w:rPr>
        <w:t xml:space="preserve"> </w:t>
      </w:r>
    </w:p>
    <w:p>
      <w:pPr>
        <w:numPr>
          <w:ilvl w:val="0"/>
          <w:numId w:val="1"/>
        </w:numPr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魅力成都</w:t>
      </w:r>
      <w:r>
        <w:rPr>
          <w:rFonts w:ascii="微软雅黑" w:hAnsi="微软雅黑" w:eastAsia="微软雅黑" w:cs="宋体"/>
          <w:color w:val="000000"/>
        </w:rPr>
        <w:t xml:space="preserve"> </w:t>
      </w:r>
      <w:r>
        <w:rPr>
          <w:rFonts w:hint="eastAsia" w:ascii="微软雅黑" w:hAnsi="微软雅黑" w:eastAsia="微软雅黑" w:cs="宋体"/>
          <w:color w:val="000000"/>
        </w:rPr>
        <w:t>天府之国</w:t>
      </w:r>
    </w:p>
    <w:p>
      <w:pPr>
        <w:numPr>
          <w:ilvl w:val="0"/>
          <w:numId w:val="1"/>
        </w:numPr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熊猫基地</w:t>
      </w:r>
      <w:r>
        <w:rPr>
          <w:rFonts w:ascii="微软雅黑" w:hAnsi="微软雅黑" w:eastAsia="微软雅黑" w:cs="宋体"/>
          <w:color w:val="000000"/>
        </w:rPr>
        <w:t xml:space="preserve"> </w:t>
      </w:r>
      <w:r>
        <w:rPr>
          <w:rFonts w:hint="eastAsia" w:ascii="微软雅黑" w:hAnsi="微软雅黑" w:eastAsia="微软雅黑" w:cs="宋体"/>
          <w:color w:val="000000"/>
        </w:rPr>
        <w:t>国宝探寻</w:t>
      </w:r>
    </w:p>
    <w:p>
      <w:pPr>
        <w:numPr>
          <w:ilvl w:val="0"/>
          <w:numId w:val="1"/>
        </w:numPr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巴蜀文化</w:t>
      </w:r>
      <w:r>
        <w:rPr>
          <w:rFonts w:ascii="微软雅黑" w:hAnsi="微软雅黑" w:eastAsia="微软雅黑" w:cs="宋体"/>
          <w:color w:val="000000"/>
        </w:rPr>
        <w:t xml:space="preserve"> </w:t>
      </w:r>
      <w:r>
        <w:rPr>
          <w:rFonts w:hint="eastAsia" w:ascii="微软雅黑" w:hAnsi="微软雅黑" w:eastAsia="微软雅黑" w:cs="宋体"/>
          <w:color w:val="000000"/>
        </w:rPr>
        <w:t>深度研习</w:t>
      </w:r>
    </w:p>
    <w:p>
      <w:pPr>
        <w:spacing w:line="0" w:lineRule="atLeast"/>
        <w:rPr>
          <w:rFonts w:ascii="微软雅黑" w:hAnsi="微软雅黑" w:eastAsia="微软雅黑" w:cs="宋体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4"/>
        </w:rPr>
        <w:t>【课程安排】</w:t>
      </w:r>
    </w:p>
    <w:p>
      <w:pPr>
        <w:spacing w:line="0" w:lineRule="atLeast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备注：</w:t>
      </w:r>
    </w:p>
    <w:p>
      <w:pPr>
        <w:numPr>
          <w:ilvl w:val="0"/>
          <w:numId w:val="2"/>
        </w:numPr>
        <w:spacing w:line="0" w:lineRule="atLeast"/>
        <w:rPr>
          <w:rFonts w:ascii="微软雅黑" w:hAnsi="微软雅黑" w:eastAsia="微软雅黑" w:cs="宋体"/>
          <w:color w:val="000000"/>
        </w:rPr>
      </w:pPr>
      <w:r>
        <w:rPr>
          <w:rFonts w:hint="eastAsia" w:ascii="微软雅黑" w:hAnsi="微软雅黑" w:eastAsia="微软雅黑" w:cs="宋体"/>
          <w:color w:val="000000"/>
        </w:rPr>
        <w:t>根据到达的时间不同，组委会可调整活动顺序，但活动总量不变。</w:t>
      </w:r>
    </w:p>
    <w:p>
      <w:pPr>
        <w:numPr>
          <w:ilvl w:val="0"/>
          <w:numId w:val="2"/>
        </w:numPr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成都市区内行程第一天安排如下：四部车分为A B C D车。上午A车前往成都市博物馆。B车前往成都漆器厂。结束后两车交换。（用时共约三小时）CD两车上午安排川大校园及水井坊博物馆（用时约三小时）。中午四车会合用餐。用餐后交换。C车前往市博物馆，D车前往漆器厂。结束后两车交换行程。AB车前往川大校园及水井坊博物馆。结束后四车会合晚餐后看川剧变脸。</w:t>
      </w:r>
    </w:p>
    <w:p>
      <w:pPr>
        <w:spacing w:line="0" w:lineRule="atLeast"/>
        <w:rPr>
          <w:rFonts w:ascii="微软雅黑" w:hAnsi="微软雅黑" w:eastAsia="微软雅黑"/>
          <w:b/>
          <w:bCs/>
          <w:color w:val="000000"/>
          <w:sz w:val="24"/>
          <w:szCs w:val="24"/>
        </w:rPr>
      </w:pPr>
    </w:p>
    <w:p>
      <w:pPr>
        <w:tabs>
          <w:tab w:val="center" w:pos="4153"/>
        </w:tabs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 w:cs="宋体"/>
          <w:b/>
          <w:bCs/>
          <w:color w:val="000000"/>
          <w:sz w:val="24"/>
          <w:szCs w:val="24"/>
        </w:rPr>
        <w:t>【修学课程目标】</w:t>
      </w:r>
    </w:p>
    <w:p>
      <w:pPr>
        <w:spacing w:line="0" w:lineRule="atLeas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szCs w:val="20"/>
        </w:rPr>
        <w:sym w:font="Wingdings" w:char="F0D8"/>
      </w:r>
      <w:r>
        <w:rPr>
          <w:rFonts w:hint="eastAsia" w:ascii="微软雅黑" w:hAnsi="微软雅黑" w:eastAsia="微软雅黑" w:cs="宋体"/>
          <w:b/>
          <w:bCs/>
        </w:rPr>
        <w:t>人文历史、传统文化类</w:t>
      </w:r>
    </w:p>
    <w:p>
      <w:pPr>
        <w:spacing w:line="0" w:lineRule="atLeas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 w:cs="宋体"/>
          <w:b/>
          <w:bCs/>
        </w:rPr>
        <w:t>课程目标</w:t>
      </w:r>
      <w:r>
        <w:rPr>
          <w:rFonts w:ascii="微软雅黑" w:hAnsi="微软雅黑" w:eastAsia="微软雅黑" w:cs="宋体"/>
          <w:b/>
          <w:bCs/>
        </w:rPr>
        <w:t>1</w:t>
      </w:r>
      <w:r>
        <w:rPr>
          <w:rFonts w:hint="eastAsia" w:ascii="微软雅黑" w:hAnsi="微软雅黑" w:eastAsia="微软雅黑" w:cs="宋体"/>
          <w:b/>
          <w:bCs/>
        </w:rPr>
        <w:t>：了解非遗文化传承，感受传统工艺魅力，打造匠人精神。</w:t>
      </w:r>
    </w:p>
    <w:p>
      <w:pPr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 w:cs="宋体"/>
          <w:b/>
          <w:bCs/>
        </w:rPr>
        <w:t xml:space="preserve">   </w:t>
      </w:r>
      <w:r>
        <w:rPr>
          <w:rFonts w:ascii="微软雅黑" w:hAnsi="微软雅黑" w:eastAsia="微软雅黑" w:cs="宋体"/>
          <w:color w:val="000000"/>
        </w:rPr>
        <w:t xml:space="preserve"> </w:t>
      </w:r>
      <w:r>
        <w:rPr>
          <w:rFonts w:hint="eastAsia" w:ascii="微软雅黑" w:hAnsi="微软雅黑" w:eastAsia="微软雅黑" w:cs="宋体"/>
          <w:color w:val="000000"/>
        </w:rPr>
        <w:t>通过参观【成都市博物馆】【水井坊博物馆】【漆器】，在辅导员的详细讲解下，让每个营员深入了解非遗文化传承的历程，感受传统匠人的专注和对艺术追求的执着精神。结合自身情况进行规划，思考自身成长的所需可贵精神品质。</w:t>
      </w:r>
    </w:p>
    <w:p>
      <w:pPr>
        <w:spacing w:line="0" w:lineRule="atLeas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 w:cs="宋体"/>
          <w:b/>
          <w:bCs/>
        </w:rPr>
        <w:t>课程目标</w:t>
      </w:r>
      <w:r>
        <w:rPr>
          <w:rFonts w:ascii="微软雅黑" w:hAnsi="微软雅黑" w:eastAsia="微软雅黑" w:cs="宋体"/>
          <w:b/>
          <w:bCs/>
        </w:rPr>
        <w:t>2</w:t>
      </w:r>
      <w:r>
        <w:rPr>
          <w:rFonts w:hint="eastAsia" w:ascii="微软雅黑" w:hAnsi="微软雅黑" w:eastAsia="微软雅黑" w:cs="宋体"/>
          <w:b/>
          <w:bCs/>
        </w:rPr>
        <w:t>：探索天府之国的由来，了解中华民族的智慧结晶，及其对成都发展的深远影响。</w:t>
      </w:r>
      <w:r>
        <w:rPr>
          <w:rFonts w:ascii="微软雅黑" w:hAnsi="微软雅黑" w:eastAsia="微软雅黑" w:cs="宋体"/>
          <w:b/>
          <w:bCs/>
        </w:rPr>
        <w:t xml:space="preserve"> </w:t>
      </w:r>
    </w:p>
    <w:p>
      <w:pPr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 w:cs="宋体"/>
          <w:b/>
          <w:bCs/>
        </w:rPr>
        <w:t xml:space="preserve">   </w:t>
      </w:r>
      <w:r>
        <w:rPr>
          <w:rFonts w:ascii="微软雅黑" w:hAnsi="微软雅黑" w:eastAsia="微软雅黑" w:cs="宋体"/>
          <w:color w:val="000000"/>
        </w:rPr>
        <w:t xml:space="preserve"> </w:t>
      </w:r>
      <w:r>
        <w:rPr>
          <w:rFonts w:hint="eastAsia" w:ascii="微软雅黑" w:hAnsi="微软雅黑" w:eastAsia="微软雅黑" w:cs="宋体"/>
          <w:color w:val="000000"/>
        </w:rPr>
        <w:t>通过参观【都江堰水利工程】，了解成都从旱涝害人到水旱从人的历史变迁，感受李冰父子“为官一任，造福一方”的伟大情怀，。在研究探讨都江堰水利文化内涵的基础上，分析总结都江堰建设对成都的重要贡献，对弘扬中华智慧的积极作用。</w:t>
      </w:r>
    </w:p>
    <w:p>
      <w:pPr>
        <w:spacing w:line="0" w:lineRule="atLeas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 w:cs="宋体"/>
          <w:b/>
          <w:bCs/>
        </w:rPr>
        <w:t>课程目标</w:t>
      </w:r>
      <w:r>
        <w:rPr>
          <w:rFonts w:ascii="微软雅黑" w:hAnsi="微软雅黑" w:eastAsia="微软雅黑" w:cs="宋体"/>
          <w:b/>
          <w:bCs/>
        </w:rPr>
        <w:t>3</w:t>
      </w:r>
      <w:r>
        <w:rPr>
          <w:rFonts w:hint="eastAsia" w:ascii="微软雅黑" w:hAnsi="微软雅黑" w:eastAsia="微软雅黑" w:cs="宋体"/>
          <w:b/>
          <w:bCs/>
        </w:rPr>
        <w:t>：探索成都发源之谜，感悟古代莽荒时期人类祖先与大自然的斗争精神。</w:t>
      </w:r>
    </w:p>
    <w:p>
      <w:pPr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 w:cs="宋体"/>
          <w:b/>
          <w:bCs/>
        </w:rPr>
        <w:t xml:space="preserve">   </w:t>
      </w:r>
      <w:r>
        <w:rPr>
          <w:rFonts w:ascii="微软雅黑" w:hAnsi="微软雅黑" w:eastAsia="微软雅黑" w:cs="宋体"/>
          <w:color w:val="000000"/>
        </w:rPr>
        <w:t xml:space="preserve"> </w:t>
      </w:r>
      <w:r>
        <w:rPr>
          <w:rFonts w:hint="eastAsia" w:ascii="微软雅黑" w:hAnsi="微软雅黑" w:eastAsia="微软雅黑" w:cs="宋体"/>
          <w:color w:val="000000"/>
        </w:rPr>
        <w:t>通过参观【金沙遗址】和【三星堆遗址】，让营员深入了解成都的发源之谜。此外，由辅导员引导营员对人类祖先与自然战斗，争夺生存空间的方式方法进行探讨，培养营员的比较思维及开阔视角。</w:t>
      </w:r>
    </w:p>
    <w:p>
      <w:pPr>
        <w:spacing w:line="0" w:lineRule="atLeas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 w:cs="宋体"/>
          <w:b/>
          <w:bCs/>
        </w:rPr>
        <w:t>课程目标</w:t>
      </w:r>
      <w:r>
        <w:rPr>
          <w:rFonts w:ascii="微软雅黑" w:hAnsi="微软雅黑" w:eastAsia="微软雅黑" w:cs="宋体"/>
          <w:b/>
          <w:bCs/>
        </w:rPr>
        <w:t>4</w:t>
      </w:r>
      <w:r>
        <w:rPr>
          <w:rFonts w:hint="eastAsia" w:ascii="微软雅黑" w:hAnsi="微软雅黑" w:eastAsia="微软雅黑" w:cs="宋体"/>
          <w:b/>
          <w:bCs/>
        </w:rPr>
        <w:t>：了解成都名片及代言者，把握成都文化特色。</w:t>
      </w:r>
    </w:p>
    <w:p>
      <w:pPr>
        <w:spacing w:line="0" w:lineRule="atLeast"/>
        <w:rPr>
          <w:rFonts w:ascii="微软雅黑" w:hAnsi="微软雅黑" w:eastAsia="微软雅黑"/>
          <w:color w:val="000000"/>
        </w:rPr>
      </w:pPr>
      <w:r>
        <w:rPr>
          <w:rFonts w:ascii="微软雅黑" w:hAnsi="微软雅黑" w:eastAsia="微软雅黑" w:cs="宋体"/>
          <w:b/>
          <w:bCs/>
        </w:rPr>
        <w:t xml:space="preserve">   </w:t>
      </w:r>
      <w:r>
        <w:rPr>
          <w:rFonts w:ascii="微软雅黑" w:hAnsi="微软雅黑" w:eastAsia="微软雅黑" w:cs="宋体"/>
          <w:color w:val="000000"/>
        </w:rPr>
        <w:t xml:space="preserve"> </w:t>
      </w:r>
      <w:r>
        <w:rPr>
          <w:rFonts w:hint="eastAsia" w:ascii="微软雅黑" w:hAnsi="微软雅黑" w:eastAsia="微软雅黑" w:cs="宋体"/>
          <w:color w:val="000000"/>
        </w:rPr>
        <w:t>通过参观【熊猫基地】，更加直观的认识成都的文化名片和代言者——国宝大熊猫，帮助营员树立起保护中华民族优秀文化的积极意识。</w:t>
      </w:r>
    </w:p>
    <w:p>
      <w:pPr>
        <w:widowControl/>
        <w:shd w:val="clear" w:color="auto" w:fill="FFFFFF"/>
        <w:spacing w:before="75" w:after="75" w:line="0" w:lineRule="atLeast"/>
        <w:jc w:val="left"/>
        <w:rPr>
          <w:rFonts w:ascii="微软雅黑" w:hAnsi="微软雅黑" w:eastAsia="微软雅黑"/>
          <w:kern w:val="0"/>
        </w:rPr>
      </w:pPr>
    </w:p>
    <w:p>
      <w:pPr>
        <w:spacing w:line="0" w:lineRule="atLeast"/>
        <w:rPr>
          <w:rFonts w:ascii="微软雅黑" w:hAnsi="微软雅黑" w:eastAsia="微软雅黑"/>
          <w:b/>
          <w:bCs/>
          <w:szCs w:val="20"/>
        </w:rPr>
      </w:pPr>
    </w:p>
    <w:p>
      <w:pPr>
        <w:spacing w:line="0" w:lineRule="atLeast"/>
        <w:rPr>
          <w:rFonts w:ascii="微软雅黑" w:hAnsi="微软雅黑" w:eastAsia="微软雅黑"/>
          <w:b/>
          <w:bCs/>
          <w:szCs w:val="20"/>
        </w:rPr>
      </w:pPr>
    </w:p>
    <w:p>
      <w:pPr>
        <w:spacing w:line="0" w:lineRule="atLeast"/>
        <w:rPr>
          <w:rFonts w:ascii="微软雅黑" w:hAnsi="微软雅黑" w:eastAsia="微软雅黑"/>
          <w:b/>
          <w:bCs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3DEE"/>
    <w:multiLevelType w:val="multilevel"/>
    <w:tmpl w:val="41C13D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1">
    <w:nsid w:val="753553D4"/>
    <w:multiLevelType w:val="multilevel"/>
    <w:tmpl w:val="753553D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90B"/>
    <w:rsid w:val="00026D85"/>
    <w:rsid w:val="00075511"/>
    <w:rsid w:val="0008126B"/>
    <w:rsid w:val="000852FF"/>
    <w:rsid w:val="000C1E23"/>
    <w:rsid w:val="00200B7C"/>
    <w:rsid w:val="0023090B"/>
    <w:rsid w:val="003162A8"/>
    <w:rsid w:val="00487749"/>
    <w:rsid w:val="004B267F"/>
    <w:rsid w:val="00505EDC"/>
    <w:rsid w:val="0056188E"/>
    <w:rsid w:val="00601239"/>
    <w:rsid w:val="0061185D"/>
    <w:rsid w:val="00626206"/>
    <w:rsid w:val="00673049"/>
    <w:rsid w:val="0068552D"/>
    <w:rsid w:val="00765046"/>
    <w:rsid w:val="0077580D"/>
    <w:rsid w:val="00820E8D"/>
    <w:rsid w:val="008E1D7F"/>
    <w:rsid w:val="0092177D"/>
    <w:rsid w:val="00956371"/>
    <w:rsid w:val="0095756E"/>
    <w:rsid w:val="00964A33"/>
    <w:rsid w:val="009803DF"/>
    <w:rsid w:val="009F3D81"/>
    <w:rsid w:val="009F3FC6"/>
    <w:rsid w:val="00A55A61"/>
    <w:rsid w:val="00A65F5E"/>
    <w:rsid w:val="00B476FB"/>
    <w:rsid w:val="00C32677"/>
    <w:rsid w:val="00C7712F"/>
    <w:rsid w:val="00F05EF6"/>
    <w:rsid w:val="00F412B4"/>
    <w:rsid w:val="00FC0179"/>
    <w:rsid w:val="00FE1CEF"/>
    <w:rsid w:val="00FE1DE1"/>
    <w:rsid w:val="265F51A9"/>
    <w:rsid w:val="32F34853"/>
    <w:rsid w:val="38552AE9"/>
    <w:rsid w:val="62935D4F"/>
    <w:rsid w:val="6CF450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234</Words>
  <Characters>1334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2017-04-11T13:43:00Z</dcterms:created>
  <dc:creator>微软用户</dc:creator>
  <cp:lastModifiedBy>优米教育</cp:lastModifiedBy>
  <dcterms:modified xsi:type="dcterms:W3CDTF">2017-06-23T06:26:14Z</dcterms:modified>
  <dc:title>领略天府之国  走进美丽成都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