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rPr>
          <w:rFonts w:asci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新北区</w:t>
      </w:r>
      <w:r>
        <w:rPr>
          <w:rFonts w:ascii="宋体" w:hAnsi="宋体" w:cs="宋体"/>
          <w:b/>
          <w:bCs/>
          <w:kern w:val="0"/>
          <w:sz w:val="36"/>
          <w:szCs w:val="36"/>
          <w:u w:val="single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  <w:lang w:val="en-US" w:eastAsia="zh-CN"/>
        </w:rPr>
        <w:t>春江幼儿园</w:t>
      </w:r>
      <w:r>
        <w:rPr>
          <w:rFonts w:ascii="宋体" w:hAnsi="宋体" w:cs="宋体"/>
          <w:b/>
          <w:bCs/>
          <w:kern w:val="0"/>
          <w:sz w:val="36"/>
          <w:szCs w:val="36"/>
          <w:u w:val="single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微型课题申报表</w:t>
      </w:r>
    </w:p>
    <w:p>
      <w:pPr>
        <w:widowControl/>
        <w:spacing w:line="320" w:lineRule="atLeast"/>
        <w:jc w:val="left"/>
        <w:rPr>
          <w:rFonts w:ascii="宋体" w:cs="宋体"/>
          <w:bCs/>
          <w:color w:val="222222"/>
          <w:kern w:val="0"/>
          <w:sz w:val="24"/>
        </w:rPr>
      </w:pPr>
    </w:p>
    <w:p>
      <w:pPr>
        <w:widowControl/>
        <w:spacing w:line="320" w:lineRule="atLeast"/>
        <w:jc w:val="left"/>
        <w:rPr>
          <w:rFonts w:ascii="宋体" w:cs="宋体"/>
          <w:color w:val="222222"/>
          <w:kern w:val="0"/>
          <w:sz w:val="24"/>
        </w:rPr>
      </w:pPr>
      <w:r>
        <w:rPr>
          <w:rFonts w:hint="eastAsia" w:ascii="宋体" w:hAnsi="宋体" w:cs="宋体"/>
          <w:bCs/>
          <w:color w:val="222222"/>
          <w:kern w:val="0"/>
          <w:sz w:val="24"/>
        </w:rPr>
        <w:t>编号：</w:t>
      </w:r>
      <w:r>
        <w:rPr>
          <w:rFonts w:ascii="宋体" w:hAnsi="宋体" w:cs="宋体"/>
          <w:color w:val="222222"/>
          <w:kern w:val="0"/>
          <w:sz w:val="24"/>
          <w:u w:val="single"/>
        </w:rPr>
        <w:t xml:space="preserve">    </w:t>
      </w:r>
      <w:r>
        <w:rPr>
          <w:rFonts w:hint="eastAsia" w:ascii="宋体" w:hAnsi="宋体" w:cs="宋体"/>
          <w:color w:val="222222"/>
          <w:kern w:val="0"/>
          <w:sz w:val="24"/>
          <w:u w:val="single"/>
          <w:lang w:val="en-US" w:eastAsia="zh-CN"/>
        </w:rPr>
        <w:t xml:space="preserve"> </w:t>
      </w:r>
      <w:r>
        <w:rPr>
          <w:rFonts w:ascii="宋体" w:hAnsi="宋体" w:cs="宋体"/>
          <w:color w:val="222222"/>
          <w:kern w:val="0"/>
          <w:sz w:val="24"/>
          <w:u w:val="single"/>
        </w:rPr>
        <w:t xml:space="preserve">    </w:t>
      </w:r>
    </w:p>
    <w:tbl>
      <w:tblPr>
        <w:tblStyle w:val="4"/>
        <w:tblW w:w="87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16"/>
        <w:gridCol w:w="820"/>
        <w:gridCol w:w="1053"/>
        <w:gridCol w:w="894"/>
        <w:gridCol w:w="1054"/>
        <w:gridCol w:w="894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徐菊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岁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幼儿园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二级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213134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常州市新北区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春江幼儿园</w:t>
            </w: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E-mail</w:t>
            </w:r>
          </w:p>
        </w:tc>
        <w:tc>
          <w:tcPr>
            <w:tcW w:w="19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994078605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@qq.com</w:t>
            </w: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18115805856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课题组主要成员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徐菊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曹梦、恽海燕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 w:line="450" w:lineRule="atLeast"/>
              <w:jc w:val="center"/>
              <w:rPr>
                <w:rFonts w:ascii="微软雅黑" w:hAnsi="微软雅黑" w:eastAsia="微软雅黑" w:cs="微软雅黑"/>
                <w:b w:val="0"/>
                <w:color w:val="333333"/>
                <w:sz w:val="36"/>
                <w:szCs w:val="36"/>
              </w:rPr>
            </w:pPr>
            <w:r>
              <w:rPr>
                <w:rStyle w:val="6"/>
                <w:rFonts w:hint="eastAsia" w:ascii="Times New Roman" w:hAnsi="Times New Roman"/>
                <w:b w:val="0"/>
                <w:kern w:val="2"/>
                <w:sz w:val="24"/>
                <w:szCs w:val="24"/>
                <w:lang w:val="en-US" w:eastAsia="zh-CN"/>
              </w:rPr>
              <w:t>中班幼儿良好用餐习惯培养的策略</w:t>
            </w:r>
            <w:r>
              <w:rPr>
                <w:rStyle w:val="6"/>
                <w:rFonts w:ascii="Times New Roman" w:hAnsi="Times New Roman"/>
                <w:b w:val="0"/>
                <w:kern w:val="2"/>
                <w:sz w:val="24"/>
                <w:szCs w:val="24"/>
              </w:rPr>
              <w:t>研究</w:t>
            </w:r>
          </w:p>
          <w:p>
            <w:pPr>
              <w:spacing w:line="280" w:lineRule="exac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研究背景（课题的提出）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一、课题研究背景及现状　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很多家长对</w:t>
            </w:r>
            <w:r>
              <w:rPr>
                <w:rFonts w:hint="eastAsia" w:ascii="宋体" w:hAnsi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自己的孩子每天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幼儿园里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吃什么甚是关心，而对幼儿的</w:t>
            </w:r>
            <w:r>
              <w:rPr>
                <w:rFonts w:hint="eastAsia" w:ascii="宋体" w:hAnsi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习惯培养却不够重视。很多幼儿存在剩饭、挑食、偏食、边吃边玩等现象，这不仅容易造成幼儿的营养失调，也不利于幼儿的健康成长。而究其原因，这些与家庭教育不无关系，但幼儿进入幼儿园后，随着生活环境的和饮食环境的变化，各种问题也随之出现。要培养幼儿良好的进食习惯，除了具有一定的耐心外，还得从方法上多思考。</w:t>
            </w:r>
            <w:r>
              <w:rPr>
                <w:rFonts w:hint="eastAsia" w:ascii="宋体" w:hAnsi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而且，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从进入中班后，孩子们要</w:t>
            </w:r>
            <w:r>
              <w:rPr>
                <w:rFonts w:hint="eastAsia" w:ascii="宋体" w:hAnsi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尝试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使用筷子吃饭了。</w:t>
            </w:r>
            <w:r>
              <w:rPr>
                <w:rFonts w:hint="eastAsia" w:ascii="宋体" w:hAnsi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这对于用餐习惯不好的孩子来说又是一大挑战。</w:t>
            </w:r>
            <w:r>
              <w:rPr>
                <w:rFonts w:hint="eastAsia"/>
                <w:sz w:val="24"/>
                <w:lang w:val="en-US" w:eastAsia="zh-CN"/>
              </w:rPr>
              <w:t>每到用餐时，孩子们各种握筷子的画面就成了一幅幅百花齐开的场景，热闹非凡。比如有的是</w:t>
            </w:r>
            <w:r>
              <w:rPr>
                <w:rFonts w:hint="eastAsia"/>
                <w:sz w:val="24"/>
              </w:rPr>
              <w:t>左手使用筷子，有的幼儿用拳头的方式握筷子，</w:t>
            </w:r>
            <w:r>
              <w:rPr>
                <w:rFonts w:hint="eastAsia"/>
                <w:sz w:val="24"/>
                <w:lang w:val="en-US" w:eastAsia="zh-CN"/>
              </w:rPr>
              <w:t>有的用筷头吃饭，有的筷子两根是一长一短。</w:t>
            </w:r>
            <w:r>
              <w:rPr>
                <w:rFonts w:hint="eastAsia"/>
                <w:sz w:val="24"/>
              </w:rPr>
              <w:t>因此，引导幼儿如何</w:t>
            </w:r>
            <w:r>
              <w:rPr>
                <w:rFonts w:hint="eastAsia"/>
                <w:sz w:val="24"/>
                <w:lang w:val="en-US" w:eastAsia="zh-CN"/>
              </w:rPr>
              <w:t>引导中班幼儿养成良好的用餐习惯</w:t>
            </w:r>
            <w:r>
              <w:rPr>
                <w:rFonts w:hint="eastAsia"/>
                <w:sz w:val="24"/>
              </w:rPr>
              <w:t>是现阶段急需解决的问题，本课题将从实际出发，就培养中班幼儿</w:t>
            </w:r>
            <w:r>
              <w:rPr>
                <w:rFonts w:hint="eastAsia"/>
                <w:sz w:val="24"/>
                <w:lang w:val="en-US" w:eastAsia="zh-CN"/>
              </w:rPr>
              <w:t>良好的用餐习惯</w:t>
            </w:r>
            <w:r>
              <w:rPr>
                <w:rFonts w:hint="eastAsia"/>
                <w:sz w:val="24"/>
              </w:rPr>
              <w:t>这一问题进行研究。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二、课题研究的意义。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幼儿期是行为习惯养成的重要时期，对孩子的终身发展将直接起到影响作用。因此，要因生制宜，科学对待；运用讲故事，做游戏，榜样示范，联系家长合力培养幼儿的用餐行为习惯。而且，中班</w:t>
            </w:r>
            <w:r>
              <w:rPr>
                <w:rFonts w:hint="eastAsia"/>
                <w:sz w:val="24"/>
              </w:rPr>
              <w:t>幼儿生活自理能力的形成，有助于培养幼儿的责任感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自信心，以及自己处理问题的能力，对幼儿今后的生活也产生深远的意义，但现在大部分的幼儿依赖性强，生活自理能力差，以致不能很好的适应新环境，所以培养幼儿的生活自理能力至关重要。“生活、卫生习惯良好，有基本的生活自理能力”是《指南》中对健康领域所提出的目标之一。本课题旨在通过一系列的教育和情景操作练习，同时在取得家长重视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支持</w:t>
            </w:r>
            <w:r>
              <w:rPr>
                <w:rFonts w:hint="eastAsia"/>
                <w:sz w:val="24"/>
              </w:rPr>
              <w:t>、配合的基础上，以家园互动的形式，同步探索培养、提高幼儿良好生活自理能力的有效手段和组织形式，使新课程的贯彻实施落到实处。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核心概念的界定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191919" w:sz="0" w:space="0"/>
                <w:left w:val="none" w:color="191919" w:sz="0" w:space="0"/>
                <w:bottom w:val="none" w:color="191919" w:sz="0" w:space="0"/>
                <w:right w:val="none" w:color="191919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0" w:right="0" w:rightChars="0" w:firstLine="480" w:firstLineChars="200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对幼儿园小班幼儿来说，是否能自己吃饭是其常规培养的重要内容，而大班幼儿则对其他各种生活习惯甚至是学习习惯、品德习惯等都有多考量，那么幼儿园中班的培养则正是承上启下、查缺补漏、纠错改成的最佳时期，如何把握这个时期，培养幼儿良好的进餐习惯是我作为一线教师必须要思考的问题。 通过长期的观察和实践，我也充分意识到进餐习惯直接影响着其他各个方面的习惯养成，那么我更要致力于这个方面的研究，以点及面，深入探究。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240" w:firstLineChars="1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究</w:t>
            </w:r>
          </w:p>
          <w:p>
            <w:pPr>
              <w:widowControl/>
              <w:spacing w:line="280" w:lineRule="exact"/>
              <w:ind w:firstLine="240" w:firstLineChars="100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目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标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79" w:leftChars="228" w:firstLine="0" w:firstLineChars="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制定计划,收集资料。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教给幼儿正确的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用餐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的方法，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对于不良的用餐习惯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在进餐中进行正确的指导。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0" w:firstLineChars="20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家园一致性教育，要求父母在家中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关注孩子的用餐情况及时纠正不良的用餐行为习惯。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0" w:firstLineChars="20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0" w:firstLineChars="20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0" w:firstLineChars="20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0" w:firstLineChars="20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0" w:firstLineChars="20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正不良的正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 w:firstLine="480" w:firstLineChars="200"/>
              <w:jc w:val="left"/>
              <w:textAlignment w:val="auto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在日常生活中提高幼儿使用筷子的能力。</w:t>
            </w:r>
          </w:p>
          <w:p>
            <w:pPr>
              <w:spacing w:line="360" w:lineRule="auto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spacing w:line="360" w:lineRule="auto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究</w:t>
            </w:r>
          </w:p>
          <w:p>
            <w:pPr>
              <w:spacing w:line="280" w:lineRule="exact"/>
              <w:ind w:firstLine="24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容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用餐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游戏融于幼儿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区域游戏中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用餐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游戏融于幼儿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家庭生活中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收集并选择符合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中班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幼儿年龄特征和他们感兴趣的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用餐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游戏，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并将好的用餐游戏活动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 xml:space="preserve">做成案例集。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ind w:firstLine="240" w:firstLineChars="10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究</w:t>
            </w:r>
          </w:p>
          <w:p>
            <w:pPr>
              <w:spacing w:line="280" w:lineRule="exact"/>
              <w:ind w:firstLine="240" w:firstLineChars="1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方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观察记录法：设计的观察表，对活动形式和幼儿活动情况进行针对性地观察记录。 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   2.行动研究法：通过多种途径，了解各种策略的有益性。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   3.调查法：调查分析幼儿在家里使用筷子的情况，了解事实情况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、分析情况、得出结论，寻找解决办法。</w:t>
            </w:r>
          </w:p>
        </w:tc>
      </w:tr>
    </w:tbl>
    <w:tbl>
      <w:tblPr>
        <w:tblStyle w:val="4"/>
        <w:tblpPr w:leftFromText="180" w:rightFromText="180" w:vertAnchor="text" w:horzAnchor="margin" w:tblpXSpec="center" w:tblpY="17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42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研究步骤</w:t>
            </w: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80" w:hanging="480" w:hangingChars="200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sz w:val="24"/>
                <w:szCs w:val="24"/>
                <w:lang w:val="en-US" w:eastAsia="zh-CN"/>
              </w:rPr>
              <w:t>第一阶段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sz w:val="24"/>
                <w:szCs w:val="24"/>
                <w:lang w:val="en-US" w:eastAsia="zh-CN"/>
              </w:rPr>
              <w:t> (201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sz w:val="24"/>
                <w:szCs w:val="24"/>
                <w:lang w:val="en-US" w:eastAsia="zh-CN"/>
              </w:rPr>
              <w:t>月)准备阶段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  <w:r>
              <w:rPr>
                <w:sz w:val="24"/>
                <w:szCs w:val="24"/>
                <w:lang w:val="en-US" w:eastAsia="zh-CN"/>
              </w:rPr>
              <w:t>制定实施方案</w:t>
            </w:r>
            <w:r>
              <w:rPr>
                <w:sz w:val="24"/>
                <w:szCs w:val="24"/>
                <w:lang w:val="en-US" w:eastAsia="zh-CN"/>
              </w:rPr>
              <w:br w:type="textWrapping"/>
            </w:r>
            <w:r>
              <w:rPr>
                <w:sz w:val="24"/>
                <w:szCs w:val="24"/>
                <w:lang w:val="en-US" w:eastAsia="zh-CN"/>
              </w:rPr>
              <w:t>第二阶段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sz w:val="24"/>
                <w:szCs w:val="24"/>
                <w:lang w:val="en-US" w:eastAsia="zh-CN"/>
              </w:rPr>
              <w:t>(201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——</w:t>
            </w:r>
            <w:r>
              <w:rPr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sz w:val="24"/>
                <w:szCs w:val="24"/>
                <w:lang w:val="en-US" w:eastAsia="zh-CN"/>
              </w:rPr>
              <w:t>月)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初步实施阶段：关注孩子用餐情况进行分析跟踪观察。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79" w:leftChars="228" w:firstLine="0" w:firstLineChars="0"/>
              <w:jc w:val="left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</w:t>
            </w:r>
            <w:r>
              <w:rPr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sz w:val="24"/>
                <w:szCs w:val="24"/>
                <w:lang w:val="en-US" w:eastAsia="zh-CN"/>
              </w:rPr>
              <w:t>收集资料发放调查问卷。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79" w:leftChars="228" w:firstLine="0" w:firstLineChars="0"/>
              <w:jc w:val="left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</w:t>
            </w:r>
            <w:r>
              <w:rPr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sz w:val="24"/>
                <w:szCs w:val="24"/>
                <w:lang w:val="en-US" w:eastAsia="zh-CN"/>
              </w:rPr>
              <w:t>幼儿学习正确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用餐</w:t>
            </w:r>
            <w:r>
              <w:rPr>
                <w:sz w:val="24"/>
                <w:szCs w:val="24"/>
                <w:lang w:val="en-US" w:eastAsia="zh-CN"/>
              </w:rPr>
              <w:t>的方法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（比如用餐时的坐姿、握筷子的姿势、适量饮食等）</w:t>
            </w:r>
            <w:r>
              <w:rPr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79" w:leftChars="228" w:firstLine="0" w:firstLineChars="0"/>
              <w:jc w:val="left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第三阶段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sz w:val="24"/>
                <w:szCs w:val="24"/>
                <w:lang w:val="en-US" w:eastAsia="zh-CN"/>
              </w:rPr>
              <w:t>年3月201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sz w:val="24"/>
                <w:szCs w:val="24"/>
                <w:lang w:val="en-US" w:eastAsia="zh-CN"/>
              </w:rPr>
              <w:t>年6月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79" w:leftChars="228" w:firstLine="0" w:firstLineChars="0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四月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sz w:val="24"/>
                <w:szCs w:val="24"/>
                <w:lang w:val="en-US" w:eastAsia="zh-CN"/>
              </w:rPr>
              <w:t>教给幼儿正确的使用筷子的方法，在进餐中进行正确的指导。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如：</w:t>
            </w:r>
            <w:r>
              <w:rPr>
                <w:sz w:val="24"/>
                <w:szCs w:val="24"/>
                <w:lang w:val="en-US" w:eastAsia="zh-CN"/>
              </w:rPr>
              <w:t>用筷子练习夹木珠等比较大的物体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  <w:r>
              <w:rPr>
                <w:sz w:val="24"/>
                <w:szCs w:val="24"/>
                <w:lang w:val="en-US" w:eastAsia="zh-CN"/>
              </w:rPr>
              <w:t>每天在进餐中进行正确的指导。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五月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sz w:val="24"/>
                <w:szCs w:val="24"/>
                <w:lang w:val="en-US" w:eastAsia="zh-CN"/>
              </w:rPr>
              <w:t>在日常生活中复习、巩固，每天在进餐中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关注孩子用餐习惯对于不良习惯进行及时改正。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六月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通过故事和儿歌强化幼儿卫生进食习惯;比如给幼儿养“大公鸡啄食”的故事告诉幼儿不要将饭粒洒落地上。或者通过诗歌“锄禾”让幼儿懂得珍惜食物、爱惜粮食的道理。也可以通过朗朗上口的儿歌，如“右手把筷，左手把饭，自己吃饭，我最能干”等让儿歌边说边做，循序渐进地养成好习惯。 在巩固的基础上，教师更要鼓励孩子坚持良好的个人行为习惯。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（三）总结阶段：（201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月）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1．撰写课题论文。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2．撰写课题结题报告。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3．汇集各种如教学笔记、论文、案例等相关资料。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预期成果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及呈现方式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预期成果：希望本次实践研究之后，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不仅能养成良好的就餐习惯，更重要的是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他们从小养成一种自我服务意识。帮助他们养成良好的个人习惯。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呈现方式：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观察记录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案例集</w:t>
            </w:r>
            <w:bookmarkStart w:id="0" w:name="_GoBack"/>
            <w:bookmarkEnd w:id="0"/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论文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一篇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spacing w:line="320" w:lineRule="exact"/>
              <w:rPr>
                <w:rFonts w:hint="eastAsia" w:ascii="宋体" w:hAnsi="宋体" w:cs="宋体"/>
                <w:color w:val="0000FF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学校意见</w:t>
            </w: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ind w:firstLine="2040" w:firstLineChars="850"/>
              <w:jc w:val="righ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名（章）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         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  <w:lang w:val="en-US" w:eastAsia="zh-CN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</w:p>
    <w:p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  <w:t>过程 第一阶段：夹玻璃球</w:t>
      </w:r>
      <w:r>
        <w:rPr>
          <w:rFonts w:ascii="&amp;quot" w:hAnsi="&amp;quot" w:eastAsia="&amp;quot" w:cs="&amp;quot"/>
          <w:i w:val="0"/>
          <w:caps w:val="0"/>
          <w:color w:val="333333"/>
          <w:spacing w:val="0"/>
          <w:sz w:val="24"/>
          <w:szCs w:val="24"/>
          <w:u w:val="none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  <w:t>第二阶段：夹毛珠</w:t>
      </w:r>
      <w:r>
        <w:rPr>
          <w:rFonts w:hint="default" w:ascii="&amp;quot" w:hAnsi="&amp;quot" w:eastAsia="&amp;quot" w:cs="&amp;quot"/>
          <w:i w:val="0"/>
          <w:caps w:val="0"/>
          <w:color w:val="333333"/>
          <w:spacing w:val="0"/>
          <w:sz w:val="24"/>
          <w:szCs w:val="24"/>
          <w:u w:val="none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  <w:t>第三阶段：夹花生</w:t>
      </w:r>
      <w:r>
        <w:rPr>
          <w:rFonts w:hint="default" w:ascii="&amp;quot" w:hAnsi="&amp;quot" w:eastAsia="&amp;quot" w:cs="&amp;quot"/>
          <w:i w:val="0"/>
          <w:caps w:val="0"/>
          <w:color w:val="333333"/>
          <w:spacing w:val="0"/>
          <w:sz w:val="24"/>
          <w:szCs w:val="24"/>
          <w:u w:val="none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  <w:t>具体做法如下； （一）夹玻璃球： 准备夹子一个，杯子两个，玻璃球若干，装入托盘里。三指捏住夹子，将玻璃球从一个杯子夹到另一个杯子里，反复练习。为了增加幼儿练习的兴趣，我让幼儿进行夹玻璃球比赛。全班幼儿朗诵儿歌“玻璃球，多可爱，红红绿绿放光彩，咱们都来比一比，看谁夹得多又快。”儿歌念完，比赛夹玻璃球，第一个把玻璃球夹到杯中为胜。 （二）夹毛球： 在夹玻璃球的基础上，学习夹毛球，材料有容器两个，夹子一个，红色、蓝色毛球各8个，放入容器里，把毛球按顺序以一个容器夹入另一个容器，开始孩子夹不住，急得总想用手去帮忙，还有的孩子夹的很慢很慢。经过一周的练习，幼儿初步掌握了正确地用夹子夹毛球的方法． （三）夹花生 进行完第一、第二阶段，才能过渡到用筷子夹的练习，使用筷子夹物体的顺序是这样的：(1)夹粗糙的物品。（2）慢慢过渡到夹食物。在学习夹花生的工作时，我重点教孩子使用筷子，由于孩子有了夹玻璃球及夹毛球的基础，学起来特别省劲，基本上都已掌握． （四）在日常生活中复习、巩固。</w:t>
      </w:r>
      <w:r>
        <w:rPr>
          <w:rFonts w:hint="default" w:ascii="&amp;quot" w:hAnsi="&amp;quot" w:eastAsia="&amp;quot" w:cs="&amp;quot"/>
          <w:i w:val="0"/>
          <w:caps w:val="0"/>
          <w:color w:val="333333"/>
          <w:spacing w:val="0"/>
          <w:sz w:val="24"/>
          <w:szCs w:val="24"/>
          <w:u w:val="none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  <w:t>1、教师对幼儿进行耐心的指导与训练。 (1)提出口号一一“自己的事情自己做”，“不 会做的事情学着做”，“不怕难，坚持做”。让幼儿明确行为准则。 (2)重点指导――教给幼儿正确的使用筷子的方法，在进餐中进行正确的指导。 (3)严格要求――每天进餐中督促检查幼儿使用筷子．</w:t>
      </w:r>
      <w:r>
        <w:rPr>
          <w:rFonts w:hint="default" w:ascii="&amp;quot" w:hAnsi="&amp;quot" w:eastAsia="&amp;quot" w:cs="&amp;quot"/>
          <w:i w:val="0"/>
          <w:caps w:val="0"/>
          <w:color w:val="333333"/>
          <w:spacing w:val="0"/>
          <w:sz w:val="24"/>
          <w:szCs w:val="24"/>
          <w:u w:val="none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  <w:t>2、家园一致性教育 要求父母在家中为孩子创造锻炼的机会，切忌对幼儿迁就照顾。应该逐渐要求他们自己的事情自己做。鼓励他们克服困难，孩子初次学习使用筷子，动作势必缓慢而又艰难。家长一定要为孩子准备充足的时间幼儿在操作活动及吃饭时，练习了使用筷子，并达到了掌握的程度。</w:t>
      </w:r>
      <w:r>
        <w:rPr>
          <w:rFonts w:hint="default" w:ascii="&amp;quot" w:hAnsi="&amp;quot" w:eastAsia="&amp;quot" w:cs="&amp;quot"/>
          <w:i w:val="0"/>
          <w:caps w:val="0"/>
          <w:color w:val="333333"/>
          <w:spacing w:val="0"/>
          <w:sz w:val="24"/>
          <w:szCs w:val="24"/>
          <w:u w:val="none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  <w:t>我认为主要原因是： 有目的、有计划、有顺序性的练习，是孩子学会使用筷子的前提。也许有人认为第一步夹玻璃球和第二步夹毛球的练习都是多余的，直接练习用筷子夹东西会更省事。在实验的过程中，有一名小朋友因为某种原因很长时间没上幼儿园．当她看到小朋友都会用筷子夹花生了，觉得很有兴趣，也想试一试，拿起来就开始夹，结果一个也夹不到急得满头大汗。有了夹玻璃球和夹毛球的基础，幼儿使用筷子时不感到拘谨,很快地就学会了使用筷子</w:t>
      </w:r>
      <w:r>
        <w:rPr>
          <w:rFonts w:hint="default" w:ascii="&amp;quot" w:hAnsi="&amp;quot" w:eastAsia="&amp;quot" w:cs="&amp;quot"/>
          <w:i w:val="0"/>
          <w:caps w:val="0"/>
          <w:color w:val="333333"/>
          <w:spacing w:val="0"/>
          <w:sz w:val="24"/>
          <w:szCs w:val="24"/>
          <w:u w:val="none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  <w:t>六、中班是学习使用筷子的关键时期，幼儿不仅独立生活能力得到了提高，而且对幼儿智能发展也非常有益。 当然，这是我的一点尝试，仅仅是开始，很不完善，需要在今后的工作中进一步探索研究，使其更加完善。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1F72D"/>
    <w:multiLevelType w:val="singleLevel"/>
    <w:tmpl w:val="48A1F7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A5528"/>
    <w:rsid w:val="00201C80"/>
    <w:rsid w:val="00EA7F4A"/>
    <w:rsid w:val="0BDB4756"/>
    <w:rsid w:val="0DB12EE7"/>
    <w:rsid w:val="33694E82"/>
    <w:rsid w:val="365B4479"/>
    <w:rsid w:val="38FF54A1"/>
    <w:rsid w:val="52D12B84"/>
    <w:rsid w:val="553E3191"/>
    <w:rsid w:val="561A5528"/>
    <w:rsid w:val="581D6F58"/>
    <w:rsid w:val="5AEA087E"/>
    <w:rsid w:val="652C1327"/>
    <w:rsid w:val="6D535020"/>
    <w:rsid w:val="6F24398C"/>
    <w:rsid w:val="7609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2018-10-07T05:01:00Z</dcterms:created>
  <dc:creator>漾</dc:creator>
  <cp:lastModifiedBy>Administrator</cp:lastModifiedBy>
  <dcterms:modified xsi:type="dcterms:W3CDTF">2019-03-26T08:22:45Z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  <property fmtid="{D5CDD505-2E9C-101B-9397-08002B2CF9AE}" pid="3" name="KSORubyTemplateID" linkTarget="0">
    <vt:lpwstr>6</vt:lpwstr>
  </property>
</Properties>
</file>