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2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sz w:val="24"/>
          <w:szCs w:val="24"/>
        </w:rPr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5 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387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复习第五第六课。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小练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英：U3书下单词2➕2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生活、拓展类：语：片段练习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第三单元词语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大练3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：u3书下单词2➕2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小作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背诵课文指定小节</w:t>
            </w:r>
            <w:r>
              <w:rPr>
                <w:rFonts w:ascii="楷体" w:hAnsi="楷体" w:eastAsia="楷体"/>
                <w:sz w:val="24"/>
                <w:szCs w:val="24"/>
              </w:rPr>
              <w:t>。数：</w:t>
            </w:r>
            <w:r>
              <w:rPr>
                <w:rFonts w:ascii="楷体" w:hAnsi="楷体" w:eastAsia="楷体"/>
                <w:sz w:val="24"/>
                <w:szCs w:val="24"/>
              </w:rPr>
              <w:t>口算</w:t>
            </w:r>
            <w:r>
              <w:rPr>
                <w:rFonts w:ascii="楷体" w:hAnsi="楷体" w:eastAsia="楷体"/>
                <w:sz w:val="24"/>
                <w:szCs w:val="24"/>
              </w:rPr>
              <w:t>2页</w:t>
            </w:r>
            <w:r>
              <w:rPr>
                <w:rFonts w:ascii="楷体" w:hAnsi="楷体" w:eastAsia="楷体"/>
                <w:sz w:val="24"/>
                <w:szCs w:val="24"/>
              </w:rPr>
              <w:t>，竖式计算6道。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u3书下单词2➕2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抄写第9课词语，继续背诵第8课第三、四节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数：练习一张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英：</w:t>
            </w:r>
            <w:r>
              <w:rPr>
                <w:rFonts w:ascii="楷体" w:hAnsi="楷体" w:eastAsia="楷体"/>
                <w:sz w:val="24"/>
                <w:szCs w:val="24"/>
              </w:rPr>
              <w:t>u3书下单词2➕2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语：练习广播操数：英：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黑体" w:hAnsi="黑体" w:eastAsia="黑体"/>
                <w:sz w:val="24"/>
                <w:szCs w:val="24"/>
              </w:rPr>
              <w:t>语：1  词语2+1</w:t>
            </w:r>
            <w:r>
              <w:rPr>
                <w:rFonts w:ascii="楷体" w:hAnsi="楷体" w:eastAsia="楷体"/>
                <w:sz w:val="24"/>
                <w:szCs w:val="24"/>
              </w:rPr>
              <w:t>。数：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u3书下单词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2➕2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语：读［语延］，读知识点。数：英：背诵课文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跟着课本去旅行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新课词语2遍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u3书下单词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2➕2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语：第9课词语两遍。</w:t>
            </w:r>
            <w:r>
              <w:rPr>
                <w:rFonts w:ascii="楷体" w:hAnsi="楷体" w:eastAsia="楷体"/>
                <w:sz w:val="24"/>
                <w:szCs w:val="24"/>
              </w:rPr>
              <w:t>数：大练习册</w:t>
            </w:r>
            <w:r>
              <w:rPr>
                <w:rFonts w:ascii="楷体" w:hAnsi="楷体" w:eastAsia="楷体"/>
                <w:sz w:val="24"/>
                <w:szCs w:val="24"/>
              </w:rPr>
              <w:t>一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英：u3书下单词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2➕2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2">
    <w:multiLevelType w:val="hybridMultilevel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2">
    <w:abstractNumId w:val="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