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440"/>
        <w:gridCol w:w="1440"/>
        <w:gridCol w:w="21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课题：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第二课第二框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eastAsia="zh-CN"/>
              </w:rPr>
              <w:t>合理利用网络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科目：道德与法治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 xml:space="preserve">教学对象：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年级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spacing w:line="315" w:lineRule="atLeast"/>
              <w:ind w:firstLine="42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课时：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1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eastAsia="zh-CN"/>
              </w:rPr>
              <w:t>陈燕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单位：常州市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eastAsia="zh-CN"/>
              </w:rPr>
              <w:t>东青实验学校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FFFFFF"/>
              </w:rPr>
              <w:t>一、教学内容分析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课题：本课是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部编版八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年级《道德与法治》上册第一单元第二课《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网络生活新时空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》的第二框《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合理利用网络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》，一二两框有着密切的联系，在现代信息社会条件下，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网络改变了我们的生活但是网络同时也是一把双刃剑。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所以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本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在承接第一框《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网络改变世界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》的基础上，进一步展开深入学习在信息化背景下网络等公共生活的新内容，也就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学会了正确使用网络的技巧，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提高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了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媒介素养。</w:t>
            </w:r>
          </w:p>
          <w:p>
            <w:pPr>
              <w:spacing w:line="300" w:lineRule="auto"/>
              <w:ind w:firstLine="422" w:firstLineChars="200"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学习内容：从不同媒介，引出媒介对人们生活、学习等重大影响，从而引导人们正确去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使用网络</w:t>
            </w:r>
          </w:p>
          <w:p>
            <w:pPr>
              <w:spacing w:line="300" w:lineRule="auto"/>
              <w:ind w:firstLine="422" w:firstLineChars="200"/>
              <w:jc w:val="left"/>
              <w:rPr>
                <w:rFonts w:ascii="宋体" w:hAnsi="宋体" w:eastAsia="宋体" w:cs="宋体"/>
                <w:color w:val="0000F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价值及重要性：根据课标的要求，学生要学习搜集、处理、运用信息的方法，提高媒介素养，能够积极适应信息化社会。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合理利用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网络能提高学生的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媒介素养，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掌握利用网络传播正能量的方法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9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auto"/>
              <w:ind w:firstLine="422" w:firstLineChars="200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 xml:space="preserve">【情感态度价值观】                                                            </w:t>
            </w:r>
          </w:p>
          <w:p>
            <w:pPr>
              <w:spacing w:line="300" w:lineRule="auto"/>
              <w:ind w:firstLine="422" w:firstLineChars="200"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使学生学会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合理地选择、利用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、评估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媒介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信息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，较好地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掌握利用媒介的方法与技巧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。</w:t>
            </w:r>
          </w:p>
          <w:p>
            <w:pPr>
              <w:spacing w:line="300" w:lineRule="auto"/>
              <w:ind w:firstLine="422" w:firstLineChars="200"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【能力】</w:t>
            </w:r>
          </w:p>
          <w:p>
            <w:pPr>
              <w:spacing w:line="300" w:lineRule="auto"/>
              <w:ind w:firstLine="422" w:firstLineChars="200"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让学生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能够合理地利用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网络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学习、工作和生活，具备较强的信息鉴别能力和媒介批评能力。</w:t>
            </w:r>
          </w:p>
          <w:p>
            <w:pPr>
              <w:spacing w:line="300" w:lineRule="auto"/>
              <w:ind w:firstLine="422" w:firstLineChars="200"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【知识】</w:t>
            </w:r>
          </w:p>
          <w:p>
            <w:pPr>
              <w:spacing w:line="300" w:lineRule="auto"/>
              <w:ind w:firstLine="422" w:firstLine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帮助学生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初步掌握利用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网络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学习和生活的方法。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三、学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auto"/>
              <w:ind w:firstLine="422" w:firstLineChars="200"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通过平时对这一年龄阶段学生的了解，以及课前布置的任务来看，学生生活在网络世界中，深深受到媒介的影响；明辨是非能力还不强，对媒介缺乏理性的认识 ，不能时时刻刻保持清醒头脑正确运用媒介。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四、教学策略选择与设计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9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00" w:lineRule="auto"/>
              <w:ind w:firstLine="200"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>　教育家陶行知先生的教育理念指出,有了生活教育就能打破"死读书、读死书、读书死"的现象。他指出生活即教育，社会即学校，教学做合一，所以这节课主要是采用情境教学法，探究学习法，辩论法等。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9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五、教学重点及难点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9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Lines="50" w:afterLines="50" w:line="300" w:lineRule="auto"/>
              <w:ind w:firstLine="422" w:firstLineChars="200"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 xml:space="preserve">教学难点： 1、媒介素养、媒介批评 2、提高媒介素养的基本要求 </w:t>
            </w:r>
          </w:p>
          <w:p>
            <w:pPr>
              <w:spacing w:beforeLines="50" w:afterLines="50" w:line="300" w:lineRule="auto"/>
              <w:ind w:firstLine="422" w:firstLineChars="200"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  <w:t xml:space="preserve">教学重点：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eastAsia="zh-CN"/>
              </w:rPr>
              <w:t>如何理性利用网络</w:t>
            </w:r>
          </w:p>
          <w:p>
            <w:pPr>
              <w:spacing w:beforeLines="50" w:afterLines="50" w:line="300" w:lineRule="auto"/>
              <w:ind w:firstLine="422" w:firstLineChars="200"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六、教学过程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76" w:lineRule="auto"/>
              <w:jc w:val="left"/>
              <w:rPr>
                <w:szCs w:val="21"/>
              </w:rPr>
            </w:pPr>
            <w:r>
              <w:rPr>
                <w:szCs w:val="21"/>
              </w:rPr>
              <w:t>【导入】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上节课咱们一起学习了网络对我们的生活、对社会生活的巨大影响。今天咱们一起走进小王的故事，学习合理利用网络的方法。</w:t>
            </w:r>
          </w:p>
          <w:p>
            <w:pPr>
              <w:spacing w:line="276" w:lineRule="auto"/>
              <w:jc w:val="left"/>
              <w:rPr>
                <w:szCs w:val="21"/>
              </w:rPr>
            </w:pPr>
            <w:r>
              <w:rPr>
                <w:szCs w:val="21"/>
              </w:rPr>
              <w:t>【</w:t>
            </w:r>
            <w:r>
              <w:rPr>
                <w:rFonts w:hint="eastAsia" w:eastAsia="宋体"/>
                <w:szCs w:val="21"/>
                <w:lang w:eastAsia="zh-CN"/>
              </w:rPr>
              <w:t>爸爸妈妈的争吵</w:t>
            </w:r>
            <w:r>
              <w:rPr>
                <w:szCs w:val="21"/>
              </w:rPr>
              <w:t>】</w:t>
            </w:r>
          </w:p>
          <w:p>
            <w:pPr>
              <w:spacing w:line="276" w:lineRule="auto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爸爸妈妈对是否给小王买手机各执一词，请同学们以小组为单位展开辩论，说说支持哪一方，理由是什么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eastAsia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一边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回顾旧知，一边看投影了解小王的故事，展开辩论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提高学生的思辨能力，理解网络本身无好坏，关键是如何合理利用网络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【环节一：小王生病了】</w:t>
            </w: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自从爸妈给他买了手机，他每天放学回去的第一件事就是查看各种软件推送的信息，这一看就要几个小时甚至更多。他感觉没有办法控制自己，更奇怪的是他感觉自己对网络以外的事情失去了兴趣，他不愿意看书，不写作业，甚至不想去学校了。一但哪天离开手机他就坐立不安、心慌、燥热出汗。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师：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小王得了什么病？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他该怎么办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教师再加以概括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  <w:t>同学们概括：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网络信息无限，而我们的时间却有限所以我们要学会合理取舍。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结论一：我们要学会“信息节食”！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培养学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生的归纳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概括能力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bookmarkStart w:id="0" w:name="_GoBack" w:colFirst="0" w:colLast="2"/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【环节二：小王的困惑】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师：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我们看到的网上的信息都是真实的吗？有没有虚假信息。下面我们一起来看看这几天小王在朋友圈看到的内容。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一条消息:</w:t>
            </w: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小沈阳吸毒被抓</w:t>
            </w: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师：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到底真的假的呢？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我们能否随意传播这样的信息？</w:t>
            </w: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没过多久我就在手机上看到了这样一个视频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。（播放小沈阳澄清视频）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所以这是假的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那这个同学会不会被小沈阳告上法庭呢？我们来看看这方面的法律知识。如果你的转发还没这么严重，那赶紧删除应该还不要负法律责任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小贴士：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2018年第一季度十大网络谣言。提供辨别网络信息的技巧与方法。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3.法律条文：传谣、造谣造成严重后果的要承担法律责任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  <w:t>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思考，提高辨析信息的能力和法治观念。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组讨论，每组请一个代表回答。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结论二：我们要我们要学会辨析网络信息，让谣言止于智者，自觉抵制各种不良信息。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7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line="276" w:lineRule="auto"/>
              <w:jc w:val="both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【环节三：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小王的愤怒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】</w:t>
            </w: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学校诗词大会上，小王有幸别选中成为主持人。这本是幸福的事，但是却有其他班级的同学在会后利用朋友圈说说诋毁小王，小王气愤异常？</w:t>
            </w: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师：遇到别人在网上侮辱你，你该不该反击？说说理由。</w:t>
            </w: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我们一起看看小王的以眼还眼以牙还牙的做法，你还站在小王这一边吗？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师过渡：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在当代，每个公民都既是信息的接受者、也是信息的传播者和制作者。这是一个人人都有麦克风、全名皆记者的时代。</w:t>
            </w: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【环节四：行动篇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】</w:t>
            </w: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小王班级公民实践活动课给常州市园林管理局写的一封信。</w:t>
            </w: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  <w:t>图片：我向总理说句话</w:t>
            </w: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  <w:t>师：我们可以利用网络做什么？</w:t>
            </w: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【环节四：行动篇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】</w:t>
            </w: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  <w:t>轻松筹：我校师生为焦溪初中女生筹款的真实实例。</w:t>
            </w: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  <w:t>你还知道哪些类似的网络公益行动？</w:t>
            </w: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  <w:t>播放视频：常州市一代牛奶的暴走行动。为了2000多孩子的牛奶费，常州市一万多名爱心人士徒步暴走，途径12个站点，从紫荆公园到江南环球港全场25公里，传递人间大爱。</w:t>
            </w: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u w:val="none"/>
                <w:lang w:val="en-US" w:eastAsia="zh-CN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学生：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我们应该把握使用网络的尺度，学会尊重他人、注意文明、遵守道德。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凡事都要讲究尺度，有时赢了比赛却失了风度。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结论三：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恪守道德、遵守法律是网络生活的基本准则。只有自觉遵守道德和法律，才能做一名负责的网络参与者。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参与民主政治生活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结论四：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我们要充分利用网络平台为社会发展建言献策。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畅所欲言：说一说这些公益活动的收获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结论五：我们要在网上传播正能量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我们要践行社会主义核心价值观，不断提高网络媒介素养，共同培育积极健康、向上向善的网络文化，让网络公共空间充满正能量、高扬主旋律。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利用班级学生身上真实发生的事情，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激发了同学们的学习兴趣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和探究欲望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同时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小组讨论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让学生理解合理维权和尊重他人的重要性。</w:t>
            </w: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</w:p>
          <w:p>
            <w:pPr>
              <w:spacing w:line="276" w:lineRule="auto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让学生体验我们我们利用网络，传播正能量的例子。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结论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：我们要提高媒介素养，积极利用互联网获取新知、促进沟通、完善自我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eastAsia="宋体" w:cs="宋体"/>
                <w:color w:val="0000FF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  <w:t>用学生感兴趣的人与事来分析，让学生自己得出结论。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、板书设计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怎样合理利用网络？1.我们要注意浏览，寻找与学习和工作有关的信息，要学会“信息节食”。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2.我们要学会辨析网络信息，自觉抵制各种不良信息。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3.我们要恪守道德，遵守法律。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4.我们要充分利用网络平台为社会发展建言献策。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5.我们要在网上传播正能量。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6.我们要提高媒介素养，积极利用互联网获取新知、促进沟通、完善自我。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（总结）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．教学反思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本节课主要是根据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小王在使用网络中遇到的故事为情境，坚持一条主线贯穿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本课，通过同学们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在学生和生活中遇到的真实例子连接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整堂课。其中用小组交流和辩论等形式来对本课的重难点进行分析，帮同学们突破重难点。我是用最后总结概括的方法来提炼出媒介素养的含义，这样可以让学生理解的更彻底，更容易突破这一难点。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本节课同学们的表现都很积极，可能内容与其生活密切相关，他们比较感兴趣，要说最满意的应该是辩论部分，同学们都很较真，说的很有条理，有律师的潜质。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通过这节课学生基本上基础知识都学会了，这会通过后期的练习来反馈。实践方面我主要是通过社会实践活动来检验。学校一直强调的是情智课堂的教学，从启动情智到展示情智，所以本课都是以引导为主，培养学生的发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969"/>
    <w:rsid w:val="00000494"/>
    <w:rsid w:val="00011E0B"/>
    <w:rsid w:val="000310FD"/>
    <w:rsid w:val="000D4F84"/>
    <w:rsid w:val="00131A0D"/>
    <w:rsid w:val="00147D49"/>
    <w:rsid w:val="00226099"/>
    <w:rsid w:val="00232394"/>
    <w:rsid w:val="002B3AE8"/>
    <w:rsid w:val="002E58FD"/>
    <w:rsid w:val="003034C4"/>
    <w:rsid w:val="00395A0C"/>
    <w:rsid w:val="003A61FC"/>
    <w:rsid w:val="003C0604"/>
    <w:rsid w:val="004410A4"/>
    <w:rsid w:val="00484D1E"/>
    <w:rsid w:val="004954DF"/>
    <w:rsid w:val="00585B24"/>
    <w:rsid w:val="006275E6"/>
    <w:rsid w:val="00643EC0"/>
    <w:rsid w:val="00693E6F"/>
    <w:rsid w:val="006C3541"/>
    <w:rsid w:val="006C525D"/>
    <w:rsid w:val="006F7969"/>
    <w:rsid w:val="00781A9D"/>
    <w:rsid w:val="007A081F"/>
    <w:rsid w:val="007D13D3"/>
    <w:rsid w:val="00801845"/>
    <w:rsid w:val="008A6B73"/>
    <w:rsid w:val="008E21DB"/>
    <w:rsid w:val="0094223B"/>
    <w:rsid w:val="00945384"/>
    <w:rsid w:val="00992A28"/>
    <w:rsid w:val="00A766AF"/>
    <w:rsid w:val="00AF7D02"/>
    <w:rsid w:val="00B1459A"/>
    <w:rsid w:val="00B52C06"/>
    <w:rsid w:val="00B842CB"/>
    <w:rsid w:val="00BB6810"/>
    <w:rsid w:val="00BC5D85"/>
    <w:rsid w:val="00BE3B87"/>
    <w:rsid w:val="00C04517"/>
    <w:rsid w:val="00C340D5"/>
    <w:rsid w:val="00C62631"/>
    <w:rsid w:val="00C657EA"/>
    <w:rsid w:val="00CC1903"/>
    <w:rsid w:val="00D04A6C"/>
    <w:rsid w:val="00DB2277"/>
    <w:rsid w:val="00E10073"/>
    <w:rsid w:val="00E359F3"/>
    <w:rsid w:val="00ED47EA"/>
    <w:rsid w:val="00EF7763"/>
    <w:rsid w:val="00F06243"/>
    <w:rsid w:val="00F108C7"/>
    <w:rsid w:val="00F2629F"/>
    <w:rsid w:val="00FE0E08"/>
    <w:rsid w:val="00FF4BB9"/>
    <w:rsid w:val="021E24C1"/>
    <w:rsid w:val="11394605"/>
    <w:rsid w:val="1D02080C"/>
    <w:rsid w:val="37785869"/>
    <w:rsid w:val="3CAB6F3F"/>
    <w:rsid w:val="3CBF7FED"/>
    <w:rsid w:val="3EA24011"/>
    <w:rsid w:val="40C551E4"/>
    <w:rsid w:val="60FD22DB"/>
    <w:rsid w:val="773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601</Words>
  <Characters>3426</Characters>
  <Lines>28</Lines>
  <Paragraphs>8</Paragraphs>
  <ScaleCrop>false</ScaleCrop>
  <LinksUpToDate>false</LinksUpToDate>
  <CharactersWithSpaces>4019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2018-09-22T07:55:00Z</dcterms:created>
  <dc:creator>jysdh</dc:creator>
  <cp:lastModifiedBy>zhuang</cp:lastModifiedBy>
  <dcterms:modified xsi:type="dcterms:W3CDTF">2018-10-07T06:41:04Z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