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eastAsia="zh-CN"/>
        </w:rPr>
      </w:pPr>
      <w:bookmarkStart w:id="0" w:name="_GoBack"/>
      <w:r>
        <w:rPr>
          <w:rFonts w:hint="eastAsia" w:ascii="黑体" w:hAnsi="黑体" w:eastAsia="黑体" w:cs="黑体"/>
          <w:sz w:val="30"/>
          <w:szCs w:val="30"/>
          <w:lang w:eastAsia="zh-CN"/>
        </w:rPr>
        <w:t>像杨振宁这样的理科生写的文章</w:t>
      </w:r>
      <w:r>
        <w:rPr>
          <w:rFonts w:hint="eastAsia" w:ascii="黑体" w:hAnsi="黑体" w:eastAsia="黑体" w:cs="黑体"/>
          <w:sz w:val="30"/>
          <w:szCs w:val="30"/>
          <w:lang w:val="en-US" w:eastAsia="zh-CN"/>
        </w:rPr>
        <w:t>适合</w:t>
      </w:r>
      <w:r>
        <w:rPr>
          <w:rFonts w:hint="eastAsia" w:ascii="黑体" w:hAnsi="黑体" w:eastAsia="黑体" w:cs="黑体"/>
          <w:sz w:val="30"/>
          <w:szCs w:val="30"/>
          <w:lang w:eastAsia="zh-CN"/>
        </w:rPr>
        <w:t>编入中学语文教材吗？</w:t>
      </w:r>
    </w:p>
    <w:bookmarkEnd w:id="0"/>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常州市东青实验学校  沈芸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新学期，新的语文书，新鲜的心情！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“杨振宁？”领到新书的一位女生喃喃自语。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“那个谁？不是一个物理学家吗？八十几岁娶了一个二十几岁的老婆。他会写文章？还放在了语文书里？”邻桌的男生油腔滑调地说道。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青春期总绕不过“八卦”，年轻而闹腾的心冷不丁冒出的“十万个为什么”能惊起一滩鸥鹭，也激起了我脑海的万千波澜——像杨振宁这样的理科生写的文章适合编入中学语文教材吗？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8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800000"/>
          <w:sz w:val="24"/>
          <w:szCs w:val="24"/>
          <w:lang w:val="en-US" w:eastAsia="zh-CN"/>
        </w:rPr>
      </w:pPr>
      <w:r>
        <w:rPr>
          <w:rFonts w:hint="eastAsia" w:ascii="宋体" w:hAnsi="宋体" w:eastAsia="宋体" w:cs="宋体"/>
          <w:b/>
          <w:bCs/>
          <w:color w:val="800000"/>
          <w:sz w:val="24"/>
          <w:szCs w:val="24"/>
          <w:lang w:val="en-US" w:eastAsia="zh-CN"/>
        </w:rPr>
        <w:t>聚焦作者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C00000"/>
          <w:sz w:val="24"/>
          <w:szCs w:val="24"/>
          <w:lang w:val="en-US" w:eastAsia="zh-CN"/>
        </w:rPr>
      </w:pPr>
      <w:r>
        <w:rPr>
          <w:rFonts w:hint="eastAsia" w:ascii="宋体" w:hAnsi="宋体" w:eastAsia="宋体" w:cs="宋体"/>
          <w:b w:val="0"/>
          <w:bCs w:val="0"/>
          <w:color w:val="auto"/>
          <w:sz w:val="24"/>
          <w:szCs w:val="24"/>
          <w:lang w:val="en-US" w:eastAsia="zh-CN"/>
        </w:rPr>
        <w:t>国内求学：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杨振宁，1922年10月1日出生于安徽合肥。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4岁时，母亲开始教杨振宁认字，一年多的时间杨振宁学了三千个字。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6岁开始，由于父亲自美国归来，分别在厦门大学、清华大学任教，杨振宁随父就近读小学。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11岁小学毕业，入读城内绒线胡同天主教圣公会崇德中学，离家在校寄宿，曾因考试偷看被罚。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岁时，受日本侵华战争影响，举家辗转迁移，经合肥、广州、香港、越南河内辗转抵昆明，杨振宁入读昆华中学高中二年级。同年秋天，以高二学历参加统一招生考试，被西南联大录取，先遵父命报化学系，后改物理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20岁，杨振宁毕业于昆明的国立西南联合大学，后考入该校研究院理科研究所物理学部（清华大学物理研究所）读研究生。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22岁，国立西南联合大学研究生毕业。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海外简历：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23就读于美国芝加哥大学，26岁获哲学博士学位。</w:t>
      </w:r>
    </w:p>
    <w:p>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27岁，</w:t>
      </w:r>
      <w:r>
        <w:rPr>
          <w:rFonts w:hint="eastAsia" w:ascii="宋体" w:hAnsi="宋体" w:eastAsia="宋体" w:cs="宋体"/>
          <w:sz w:val="24"/>
          <w:szCs w:val="24"/>
        </w:rPr>
        <w:t>进入</w:t>
      </w:r>
      <w:r>
        <w:rPr>
          <w:rFonts w:hint="eastAsia" w:ascii="宋体" w:hAnsi="宋体" w:eastAsia="宋体" w:cs="宋体"/>
          <w:sz w:val="24"/>
          <w:szCs w:val="24"/>
          <w:lang w:val="en-US" w:eastAsia="zh-CN"/>
        </w:rPr>
        <w:t>普林斯顿</w:t>
      </w:r>
      <w:r>
        <w:rPr>
          <w:rFonts w:hint="eastAsia" w:ascii="宋体" w:hAnsi="宋体" w:eastAsia="宋体" w:cs="宋体"/>
          <w:sz w:val="24"/>
          <w:szCs w:val="24"/>
        </w:rPr>
        <w:t>高等研究院进行博士</w:t>
      </w:r>
      <w:r>
        <w:rPr>
          <w:rFonts w:hint="eastAsia" w:ascii="宋体" w:hAnsi="宋体" w:eastAsia="宋体" w:cs="宋体"/>
          <w:sz w:val="24"/>
          <w:szCs w:val="24"/>
          <w:lang w:val="en-US" w:eastAsia="zh-CN"/>
        </w:rPr>
        <w:t>后研究工作，开始同李政道合作。（当时的院长就是课文中与邓稼先进行比较的奥本海默）。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35岁，与李政道因共同提出宇称不守恒理论而获得诺贝尔物理学奖。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42岁，加入美籍，成为美国公民，第二年，当选美国国家科学院院士。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44岁起，任纽约州立大学石溪分校艾伯特·爱因斯坦讲座教授兼理论物理研究所所长。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76岁，任清华大学教授。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81岁，杨振宁回中国定居，从此往返于北京和香港之间。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杨振宁，</w:t>
      </w:r>
      <w:r>
        <w:rPr>
          <w:rFonts w:hint="eastAsia" w:ascii="宋体" w:hAnsi="宋体" w:eastAsia="宋体" w:cs="宋体"/>
          <w:b/>
          <w:bCs/>
          <w:color w:val="800000"/>
          <w:sz w:val="24"/>
          <w:szCs w:val="24"/>
          <w:lang w:val="en-US" w:eastAsia="zh-CN"/>
        </w:rPr>
        <w:t>22岁之前，</w:t>
      </w:r>
      <w:r>
        <w:rPr>
          <w:rFonts w:hint="eastAsia" w:ascii="宋体" w:hAnsi="宋体" w:eastAsia="宋体" w:cs="宋体"/>
          <w:b w:val="0"/>
          <w:bCs w:val="0"/>
          <w:sz w:val="24"/>
          <w:szCs w:val="24"/>
          <w:lang w:val="en-US" w:eastAsia="zh-CN"/>
        </w:rPr>
        <w:t>求学于国内，大学、研究生均主攻物理专业；</w:t>
      </w:r>
      <w:r>
        <w:rPr>
          <w:rFonts w:hint="eastAsia" w:ascii="宋体" w:hAnsi="宋体" w:eastAsia="宋体" w:cs="宋体"/>
          <w:b/>
          <w:bCs/>
          <w:color w:val="800000"/>
          <w:sz w:val="24"/>
          <w:szCs w:val="24"/>
          <w:lang w:val="en-US" w:eastAsia="zh-CN"/>
        </w:rPr>
        <w:t>22岁之后，</w:t>
      </w:r>
      <w:r>
        <w:rPr>
          <w:rFonts w:hint="eastAsia" w:ascii="宋体" w:hAnsi="宋体" w:eastAsia="宋体" w:cs="宋体"/>
          <w:b w:val="0"/>
          <w:bCs w:val="0"/>
          <w:sz w:val="24"/>
          <w:szCs w:val="24"/>
          <w:lang w:val="en-US" w:eastAsia="zh-CN"/>
        </w:rPr>
        <w:t>开始留学美国，博士专业是哲学，博士后专业是物理。而后基本定居美国，从事物理学研究。</w:t>
      </w:r>
      <w:r>
        <w:rPr>
          <w:rFonts w:hint="eastAsia" w:ascii="宋体" w:hAnsi="宋体" w:eastAsia="宋体" w:cs="宋体"/>
          <w:b/>
          <w:bCs/>
          <w:sz w:val="24"/>
          <w:szCs w:val="24"/>
          <w:lang w:val="en-US" w:eastAsia="zh-CN"/>
        </w:rPr>
        <w:t>也就是说，在81岁前，杨振宁约</w:t>
      </w:r>
      <w:r>
        <w:rPr>
          <w:rFonts w:hint="eastAsia" w:ascii="宋体" w:hAnsi="宋体" w:eastAsia="宋体" w:cs="宋体"/>
          <w:b/>
          <w:bCs/>
          <w:color w:val="800000"/>
          <w:sz w:val="24"/>
          <w:szCs w:val="24"/>
          <w:lang w:val="en-US" w:eastAsia="zh-CN"/>
        </w:rPr>
        <w:t>二十年</w:t>
      </w:r>
      <w:r>
        <w:rPr>
          <w:rFonts w:hint="eastAsia" w:ascii="宋体" w:hAnsi="宋体" w:eastAsia="宋体" w:cs="宋体"/>
          <w:b/>
          <w:bCs/>
          <w:sz w:val="24"/>
          <w:szCs w:val="24"/>
          <w:lang w:val="en-US" w:eastAsia="zh-CN"/>
        </w:rPr>
        <w:t>时间在中国，约</w:t>
      </w:r>
      <w:r>
        <w:rPr>
          <w:rFonts w:hint="eastAsia" w:ascii="宋体" w:hAnsi="宋体" w:eastAsia="宋体" w:cs="宋体"/>
          <w:b/>
          <w:bCs/>
          <w:color w:val="800000"/>
          <w:sz w:val="24"/>
          <w:szCs w:val="24"/>
          <w:lang w:val="en-US" w:eastAsia="zh-CN"/>
        </w:rPr>
        <w:t>六十年</w:t>
      </w:r>
      <w:r>
        <w:rPr>
          <w:rFonts w:hint="eastAsia" w:ascii="宋体" w:hAnsi="宋体" w:eastAsia="宋体" w:cs="宋体"/>
          <w:b/>
          <w:bCs/>
          <w:sz w:val="24"/>
          <w:szCs w:val="24"/>
          <w:lang w:val="en-US" w:eastAsia="zh-CN"/>
        </w:rPr>
        <w:t>时间基本在美国。从他的求学和工作经历来看，一直是个理科生，虽然博士读的是哲学，但还是在美国读的。</w:t>
      </w:r>
      <w:r>
        <w:rPr>
          <w:rFonts w:hint="eastAsia" w:ascii="宋体" w:hAnsi="宋体" w:eastAsia="宋体" w:cs="宋体"/>
          <w:b w:val="0"/>
          <w:bCs w:val="0"/>
          <w:sz w:val="24"/>
          <w:szCs w:val="24"/>
          <w:lang w:val="en-US" w:eastAsia="zh-CN"/>
        </w:rPr>
        <w:t>杨振宁撰稿的《邓稼先》是1993年刊登在《人民日报》上的一篇文章，当时他71岁。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我们都知道，杨振宁，在物理学研究方面做出了里程碑式的贡献，他的名字响彻整个物理学研究领域的天空；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我们都知道，他为中美关系，为中国学子做了很多事情；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我们都知道，1964年，他加入美籍，2017，他恢复中国国籍。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我们都知道，八二老翁迎娶二八美娇娘。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但我们从不知道，杨振宁文章写得很好，好到可以编入语文教材，让中国的那么多初中生来阅读与学习。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这是一种怎样的感觉呢？就好比让医科大学的学生跟鲁迅学医术，有几个人敢让这样的医生开刀呢？但这个比喻似乎不太恰当，毕竟只是一篇文章而已。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800000"/>
          <w:sz w:val="24"/>
          <w:szCs w:val="24"/>
          <w:lang w:val="en-US" w:eastAsia="zh-CN"/>
        </w:rPr>
      </w:pPr>
      <w:r>
        <w:rPr>
          <w:rFonts w:hint="eastAsia" w:ascii="宋体" w:hAnsi="宋体" w:eastAsia="宋体" w:cs="宋体"/>
          <w:sz w:val="24"/>
          <w:szCs w:val="24"/>
          <w:lang w:val="en-US" w:eastAsia="zh-CN"/>
        </w:rPr>
        <w:t>根据作者的经历，就主观臆断人家写不出好文章，这是极其不恰当的。古语云：“一叶障目，不见泰山”，“不识庐山真面目，自缘身在最高层”，盲人摸象，最要不得。毕竟，天才总是与常人不同，很少有人4岁能识三千字，而且从杨振宁反对玄学，批评《易经》来看，还是很有中国传统文化底蕴的。因此，作者的求学和工作经历会影响一个人的创作水准，但文章到底写得咋样，应该还得聚焦文章本身。</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color w:val="800000"/>
          <w:sz w:val="24"/>
          <w:szCs w:val="24"/>
          <w:lang w:val="en-US" w:eastAsia="zh-CN"/>
        </w:rPr>
        <w:t>聚焦文本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杨振宁的</w:t>
      </w:r>
      <w:r>
        <w:rPr>
          <w:rFonts w:hint="eastAsia" w:ascii="宋体" w:hAnsi="宋体" w:eastAsia="宋体" w:cs="宋体"/>
          <w:sz w:val="24"/>
          <w:szCs w:val="24"/>
          <w:lang w:val="zh-TW" w:eastAsia="zh-CN"/>
        </w:rPr>
        <w:t>《邓稼先》，</w:t>
      </w:r>
      <w:r>
        <w:rPr>
          <w:rFonts w:hint="eastAsia" w:ascii="宋体" w:hAnsi="宋体" w:eastAsia="宋体" w:cs="宋体"/>
          <w:sz w:val="24"/>
          <w:szCs w:val="24"/>
          <w:lang w:val="en-US" w:eastAsia="zh-CN"/>
        </w:rPr>
        <w:t>教参认为“本文不同于一般的人物传记,更不同于一般写人的记叙文”,又说：“文章的形式是‘散’的,它没有系统介绍邓稼先的事迹,还入了古文、诗歌、电报等内容,但主题是集中的：中华几千年优秀传统文化孕育了邓稼先这类杰出人物，又使中华民族自立于世界民族之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从以上信息可以看出，这是一篇文体模糊的文章，有点像传记性文章，有点像写人的记叙文，还有点像回忆性散文。不过，一般优秀的文学作品都不能太过纠结于文体，文学大家的文体边界也并不那么“泾渭分明”，这不算什么太大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课文</w:t>
      </w:r>
      <w:r>
        <w:rPr>
          <w:rFonts w:hint="eastAsia" w:ascii="宋体" w:hAnsi="宋体" w:eastAsia="宋体" w:cs="宋体"/>
          <w:sz w:val="24"/>
          <w:szCs w:val="24"/>
          <w:lang w:val="zh-TW" w:eastAsia="zh-CN"/>
        </w:rPr>
        <w:t>《邓稼先》</w:t>
      </w:r>
      <w:r>
        <w:rPr>
          <w:rFonts w:hint="eastAsia" w:ascii="宋体" w:hAnsi="宋体" w:eastAsia="宋体" w:cs="宋体"/>
          <w:sz w:val="24"/>
          <w:szCs w:val="24"/>
          <w:lang w:val="en-US" w:eastAsia="zh-CN"/>
        </w:rPr>
        <w:t>采用六个小标题，分别写了以下六部分内容：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1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①</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在近</w:t>
      </w:r>
      <w:r>
        <w:rPr>
          <w:rFonts w:hint="eastAsia" w:ascii="宋体" w:hAnsi="宋体" w:eastAsia="宋体" w:cs="宋体"/>
          <w:sz w:val="24"/>
          <w:szCs w:val="24"/>
          <w:lang w:val="en-US" w:eastAsia="zh-CN"/>
        </w:rPr>
        <w:t>百年的中国屈辱史</w:t>
      </w:r>
      <w:r>
        <w:rPr>
          <w:rFonts w:hint="eastAsia" w:ascii="宋体" w:hAnsi="宋体" w:eastAsia="宋体" w:cs="宋体"/>
          <w:sz w:val="24"/>
          <w:szCs w:val="24"/>
        </w:rPr>
        <w:t>的背景中推出</w:t>
      </w:r>
      <w:r>
        <w:rPr>
          <w:rFonts w:hint="eastAsia" w:ascii="宋体" w:hAnsi="宋体" w:eastAsia="宋体" w:cs="宋体"/>
          <w:sz w:val="24"/>
          <w:szCs w:val="24"/>
          <w:lang w:val="en-US" w:eastAsia="zh-CN"/>
        </w:rPr>
        <w:t>为改写民族历史作出</w:t>
      </w:r>
      <w:r>
        <w:rPr>
          <w:rFonts w:hint="eastAsia" w:ascii="宋体" w:hAnsi="宋体" w:eastAsia="宋体" w:cs="宋体"/>
          <w:sz w:val="24"/>
          <w:szCs w:val="24"/>
        </w:rPr>
        <w:t>巨大贡献的邓稼先</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2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简介</w:t>
      </w:r>
      <w:r>
        <w:rPr>
          <w:rFonts w:hint="eastAsia" w:ascii="宋体" w:hAnsi="宋体" w:eastAsia="宋体" w:cs="宋体"/>
          <w:sz w:val="24"/>
          <w:szCs w:val="24"/>
        </w:rPr>
        <w:t>邓稼先</w:t>
      </w:r>
      <w:r>
        <w:rPr>
          <w:rFonts w:hint="eastAsia" w:ascii="宋体" w:hAnsi="宋体" w:eastAsia="宋体" w:cs="宋体"/>
          <w:sz w:val="24"/>
          <w:szCs w:val="24"/>
          <w:lang w:val="en-US" w:eastAsia="zh-CN"/>
        </w:rPr>
        <w:t>的生平经历和突出贡献；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3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③</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同美国“原子弹之父”奥本海默的对比中来突显人物个性；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4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④</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中国人自己制造出原子弹，作者为友人的突出贡献而骄傲；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5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⑤</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zh-TW" w:eastAsia="zh-CN"/>
        </w:rPr>
        <w:t>邓稼先</w:t>
      </w:r>
      <w:r>
        <w:rPr>
          <w:rFonts w:hint="eastAsia" w:ascii="宋体" w:hAnsi="宋体" w:eastAsia="宋体" w:cs="宋体"/>
          <w:sz w:val="24"/>
          <w:szCs w:val="24"/>
          <w:lang w:val="en-US" w:eastAsia="zh-CN"/>
        </w:rPr>
        <w:t>始终战斗在艰苦卓绝的第一线——戈壁滩；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6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引述作者写给邓稼先夫人的电报、书信中的几段话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总结评价</w:t>
      </w:r>
      <w:r>
        <w:rPr>
          <w:rFonts w:hint="eastAsia" w:ascii="宋体" w:hAnsi="宋体" w:eastAsia="宋体" w:cs="宋体"/>
          <w:sz w:val="24"/>
          <w:szCs w:val="24"/>
        </w:rPr>
        <w:t>邓稼先</w:t>
      </w:r>
      <w:r>
        <w:rPr>
          <w:rFonts w:hint="eastAsia" w:ascii="宋体" w:hAnsi="宋体" w:eastAsia="宋体" w:cs="宋体"/>
          <w:sz w:val="24"/>
          <w:szCs w:val="24"/>
          <w:lang w:val="en-US" w:eastAsia="zh-CN"/>
        </w:rPr>
        <w:t>的一生；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文以一位同样作为科学工作者的视角，从民族历史背景和中华文化视角来审视邓稼先的杰出贡献与个性品格。文章条理清晰，内容分明，选材精当，以小见大。通过恰当的选材，用大量一两句就是一段的方式，简洁精练、铿锵有力而又立体地展现了</w:t>
      </w:r>
      <w:r>
        <w:rPr>
          <w:rFonts w:hint="eastAsia" w:ascii="宋体" w:hAnsi="宋体" w:eastAsia="宋体" w:cs="宋体"/>
          <w:b/>
          <w:bCs/>
          <w:sz w:val="24"/>
          <w:szCs w:val="24"/>
          <w:lang w:val="zh-TW" w:eastAsia="zh-CN"/>
        </w:rPr>
        <w:t>邓稼先作为大科学家的科学精神、科学态度、科学品质，</w:t>
      </w:r>
      <w:r>
        <w:rPr>
          <w:rFonts w:hint="eastAsia" w:ascii="宋体" w:hAnsi="宋体" w:eastAsia="宋体" w:cs="宋体"/>
          <w:b/>
          <w:bCs/>
          <w:sz w:val="24"/>
          <w:szCs w:val="24"/>
          <w:lang w:val="en-US" w:eastAsia="zh-CN"/>
        </w:rPr>
        <w:t>让我们看到了在中华传统文化土壤中孕育的坚韧、质朴、谦逊、执著的人物精神风貌</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en-US" w:eastAsia="zh-CN"/>
        </w:rPr>
        <w:t>如果不知道作者是杨振宁，其实真看不出来这是一篇理科生写的文章。</w:t>
      </w:r>
    </w:p>
    <w:p>
      <w:pPr>
        <w:spacing w:line="360" w:lineRule="auto"/>
        <w:ind w:firstLine="482" w:firstLineChars="200"/>
        <w:rPr>
          <w:rFonts w:hint="eastAsia" w:ascii="宋体" w:hAnsi="宋体" w:eastAsia="宋体" w:cs="宋体"/>
          <w:b/>
          <w:bCs/>
          <w:color w:val="800000"/>
          <w:sz w:val="24"/>
          <w:szCs w:val="24"/>
          <w:lang w:val="en-US" w:eastAsia="zh-CN"/>
        </w:rPr>
      </w:pPr>
      <w:r>
        <w:rPr>
          <w:rFonts w:hint="eastAsia" w:ascii="宋体" w:hAnsi="宋体" w:eastAsia="宋体" w:cs="宋体"/>
          <w:b/>
          <w:bCs/>
          <w:color w:val="800000"/>
          <w:sz w:val="24"/>
          <w:szCs w:val="24"/>
          <w:lang w:val="en-US" w:eastAsia="zh-CN"/>
        </w:rPr>
        <w:t>聚焦目标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2011版新课程标准指出：“阅读教学是学生、教师、教科书编者、文本之间对话的过程”。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编者的意图到底是什么呢？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杨振宁的</w:t>
      </w:r>
      <w:r>
        <w:rPr>
          <w:rFonts w:hint="eastAsia" w:ascii="宋体" w:hAnsi="宋体" w:eastAsia="宋体" w:cs="宋体"/>
          <w:sz w:val="24"/>
          <w:szCs w:val="24"/>
          <w:lang w:val="zh-TW" w:eastAsia="zh-CN"/>
        </w:rPr>
        <w:t>《邓稼先》</w:t>
      </w:r>
      <w:r>
        <w:rPr>
          <w:rFonts w:hint="eastAsia" w:ascii="宋体" w:hAnsi="宋体" w:eastAsia="宋体" w:cs="宋体"/>
          <w:sz w:val="24"/>
          <w:szCs w:val="24"/>
          <w:lang w:val="en-US" w:eastAsia="zh-CN"/>
        </w:rPr>
        <w:t>是七下第一单元的第一篇精读课文。教材每个单元前有一段类似单元提示的文字。第一单元共有两段，第一段是类似单元主题式的阐述，第二段是这样描述的：</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“本单元学习精读的方法。在通览全篇了解大意的基础上,把握关键语句或段落,字斟句酌,揣摩品味其含义和表达的妙处;注意结合人物生平及其所处时代,透过细节把握人物特征,理解人物的思想感情。”</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虽然</w:t>
      </w:r>
      <w:r>
        <w:rPr>
          <w:rFonts w:hint="eastAsia" w:ascii="宋体" w:hAnsi="宋体" w:eastAsia="宋体" w:cs="宋体"/>
          <w:sz w:val="24"/>
          <w:szCs w:val="24"/>
          <w:lang w:val="zh-TW" w:eastAsia="zh-CN"/>
        </w:rPr>
        <w:t>《邓稼先》</w:t>
      </w:r>
      <w:r>
        <w:rPr>
          <w:rFonts w:hint="eastAsia" w:ascii="宋体" w:hAnsi="宋体" w:eastAsia="宋体" w:cs="宋体"/>
          <w:sz w:val="24"/>
          <w:szCs w:val="24"/>
          <w:lang w:val="en-US" w:eastAsia="zh-CN"/>
        </w:rPr>
        <w:t>这篇文章可圈可点，但是用这样一篇文章来学习精读合适吗？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这篇文章以记叙为主，生动的描写是寥寥无几的。文章叙事简洁，大多事件平铺直叙，部分篇幅还引用了古文和歌曲，基本是“人物剪影”，极少有“人物特写”。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实这也不难理解，杨振宁虽然与邓稼先在北京崇德中学就是要好的同学和朋友，后来在立西南联合大学是校友，经常在一起切磋学业、交流心得，后来又都曾在美国留学，但是这些都是求学时的同窗情谊。1950年，邓稼先回到中国，从此就天各一方。期间虽然偶有数面，但也都是匆匆而别，对于邓稼先的工作画面，往往是通过一个物理学工作者对另一个物理学工作者的想象，如“不知稼先在关键性的方案上签字的时候，手有没有颤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纵观全文，最生动的描写部分是奥本海默打断他人报告，而不是邓稼先。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也有人说由于</w:t>
      </w:r>
      <w:r>
        <w:rPr>
          <w:rFonts w:hint="eastAsia" w:ascii="宋体" w:hAnsi="宋体" w:eastAsia="宋体" w:cs="宋体"/>
          <w:sz w:val="24"/>
          <w:szCs w:val="24"/>
          <w:lang w:val="zh-TW" w:eastAsia="zh-CN"/>
        </w:rPr>
        <w:t>邓稼先</w:t>
      </w:r>
      <w:r>
        <w:rPr>
          <w:rFonts w:hint="eastAsia" w:ascii="宋体" w:hAnsi="宋体" w:eastAsia="宋体" w:cs="宋体"/>
          <w:sz w:val="24"/>
          <w:szCs w:val="24"/>
          <w:lang w:val="en-US" w:eastAsia="zh-CN"/>
        </w:rPr>
        <w:t>工作的特殊性，即使他的妻子也未必能亲眼见到他的工作场景，杨振宁来写邓稼先是最适合不过了，而且写邓稼先的文章寥寥无几，这么功勋卓著、甘于奉献的人物应该让学生了解。此话不无道理，但是“工具性与人文性的统一，是语文课程的基本特点。”这篇课文不容置疑具有丰厚的人文性，思想上给人以启迪，情感上给人以愉悦，能提高学生的文化品位和审美情趣，能帮助学生形成积极的人生态度和正确的价值观。但是，对于一篇精读课文而言，仅仅这样就够了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学习精读，字斟句酌,咬文嚼字，为什么一定要用这样一篇思想内容大于语言形式的文章？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学习精读，揣摩品味关键句段的含义和表达的妙处，为什么一定要用这样一篇政治性高于文学性的文章？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学习精读，透过细节把握人物特征,理解人物的思想感情，为什么一定要用这样一篇别说细节描写，即使描写也是“</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"https://www.baidu.com/link?url=_x5e0673bgg5g2z-D_D5ckq4MUAsBEUW-c1qOsQ5YNELtsh-pq3TsYS2_APR8KlgLR0z_0IlbCx4uKAw7F5sXpleMqtVlJ-F0G_MTKVMB9e&amp;wd=&amp;eqid=d607e372000a8e61000000035a96a602" \t "https://www.baidu.com/_blank"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千淘万漉虽辛苦，吹尽黄沙始到金</w:t>
      </w:r>
      <w:r>
        <w:rPr>
          <w:rFonts w:hint="eastAsia" w:ascii="宋体" w:hAnsi="宋体" w:eastAsia="宋体" w:cs="宋体"/>
          <w:b/>
          <w:bCs/>
          <w:sz w:val="24"/>
          <w:szCs w:val="24"/>
          <w:lang w:val="en-US" w:eastAsia="zh-CN"/>
        </w:rPr>
        <w:fldChar w:fldCharType="end"/>
      </w:r>
      <w:r>
        <w:rPr>
          <w:rFonts w:hint="eastAsia" w:ascii="宋体" w:hAnsi="宋体" w:eastAsia="宋体" w:cs="宋体"/>
          <w:b/>
          <w:bCs/>
          <w:sz w:val="24"/>
          <w:szCs w:val="24"/>
          <w:lang w:val="en-US" w:eastAsia="zh-CN"/>
        </w:rPr>
        <w:t>”的文章？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color w:val="800000"/>
          <w:sz w:val="24"/>
          <w:szCs w:val="24"/>
          <w:lang w:val="en-US" w:eastAsia="zh-CN"/>
        </w:rPr>
      </w:pPr>
      <w:r>
        <w:rPr>
          <w:rFonts w:hint="eastAsia" w:ascii="宋体" w:hAnsi="宋体" w:eastAsia="宋体" w:cs="宋体"/>
          <w:b/>
          <w:bCs/>
          <w:color w:val="800000"/>
          <w:sz w:val="24"/>
          <w:szCs w:val="24"/>
          <w:lang w:val="en-US" w:eastAsia="zh-CN"/>
        </w:rPr>
        <w:t>教学选择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对于教材中的课文，我们应该怀着怎样的态度？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顶礼膜拜？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自我澎湃？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千个人眼中有一千个哈姆雷特”，一千个语文老师面对同一文本，有着不同的解读，这与一个语文老师的知识储备、文化视野、生活经历、阅读经验都有着紧密的关系。裸读文本——走进作者——走近文本——走进文本，拥有自己独立的思考、独特的见解，但并不意味着用自己的“一孔之见”、“个性解读”去固化，甚至践踏文本的价值。比如李清照就曾批评苏轼的词是“句读不齐之诗”</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，如著名的《念奴娇·赤壁怀古》，但这并不影响苏轼是一位伟大的词人，《念奴娇·赤壁怀古》在文学历史长河中熠熠生辉。</w:t>
      </w:r>
    </w:p>
    <w:p>
      <w:pPr>
        <w:spacing w:line="360" w:lineRule="auto"/>
        <w:ind w:firstLine="48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作为一线语文老师，</w:t>
      </w:r>
    </w:p>
    <w:p>
      <w:pPr>
        <w:spacing w:line="360" w:lineRule="auto"/>
        <w:ind w:firstLine="48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在权威面前就丧失自我独立的思考？</w:t>
      </w:r>
    </w:p>
    <w:p>
      <w:pPr>
        <w:spacing w:line="360" w:lineRule="auto"/>
        <w:ind w:firstLine="48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在自知自身的局限性而妄自菲薄？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“不跪着教书！”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“我思故我在！”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教材无非就是一个例子”是叶圣陶半个多世纪从事教育教学生涯得出的结论，阐明了“用语文教材教”的思想。陆继椿先生也鲜明地指出，“教学任务不是为教材作全面的解说”，提出教师为学生服务，教材为教学服务，实践为能力服务。</w:t>
      </w:r>
      <w:r>
        <w:rPr>
          <w:rFonts w:hint="eastAsia" w:ascii="宋体" w:hAnsi="宋体" w:eastAsia="宋体" w:cs="宋体"/>
          <w:b/>
          <w:bCs/>
          <w:sz w:val="24"/>
          <w:szCs w:val="24"/>
          <w:lang w:val="en-US" w:eastAsia="zh-CN"/>
        </w:rPr>
        <w:t>既然是例子，教师立足发展学生语文素养需要，根据本单元目标，经过深入的文本解读，舍去不必要的例子或换一个例子又何妨？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但是，用教材，并不意味着不尊重教材，教材作为重要的教学资源，凝聚了无数编写者对教育的认识、对语文教学的理解，它是根据一定的教育思想、教育的理念编写而成的，经过国家教材审定委员会审定通过之后才被允许使用的，所以</w:t>
      </w:r>
      <w:r>
        <w:rPr>
          <w:rFonts w:hint="eastAsia" w:ascii="宋体" w:hAnsi="宋体" w:eastAsia="宋体" w:cs="宋体"/>
          <w:b/>
          <w:bCs/>
          <w:sz w:val="24"/>
          <w:szCs w:val="24"/>
          <w:lang w:val="en-US" w:eastAsia="zh-CN"/>
        </w:rPr>
        <w:t>教材的编写、选择和使用都是很慎重的事情，深入地钻研教材、理解和尊重教材的编写意图是我们一线教师必须要做的。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《邓稼先》到底舍？还是不舍？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再次沉浸《邓稼先》的字里行间，于是有了如下的教学设计</w:t>
      </w:r>
      <w:r>
        <w:rPr>
          <w:rFonts w:hint="eastAsia" w:ascii="宋体" w:hAnsi="宋体" w:eastAsia="宋体" w:cs="宋体"/>
          <w:b w:val="0"/>
          <w:bCs w:val="0"/>
          <w:sz w:val="24"/>
          <w:szCs w:val="24"/>
          <w:lang w:val="en-US" w:eastAsia="zh-CN"/>
        </w:rPr>
        <w:t>（教学重点部分）</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改标题，删篇幅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如果我们学校《常青藤》报要转载这篇文章，编辑觉得一是小标题不够鲜明，二是篇幅太长，请帮忙完成“改标题”和“删篇幅”两项任务。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1.请把六个小标题改为“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的邓稼先”的形式（示例：第一个小标</w:t>
      </w:r>
      <w:r>
        <w:rPr>
          <w:rFonts w:hint="eastAsia" w:ascii="宋体" w:hAnsi="宋体" w:eastAsia="宋体" w:cs="宋体"/>
          <w:sz w:val="24"/>
          <w:szCs w:val="24"/>
          <w:lang w:val="en-US" w:eastAsia="zh-CN"/>
        </w:rPr>
        <w:t>题</w:t>
      </w:r>
      <w:r>
        <w:rPr>
          <w:rFonts w:hint="eastAsia" w:ascii="宋体" w:hAnsi="宋体" w:eastAsia="宋体" w:cs="宋体"/>
          <w:sz w:val="24"/>
          <w:szCs w:val="24"/>
        </w:rPr>
        <w:t>从“任人宰割”到“站起来了”</w:t>
      </w:r>
      <w:r>
        <w:rPr>
          <w:rFonts w:hint="eastAsia" w:ascii="宋体" w:hAnsi="宋体" w:eastAsia="宋体" w:cs="宋体"/>
          <w:sz w:val="24"/>
          <w:szCs w:val="24"/>
          <w:lang w:val="en-US" w:eastAsia="zh-CN"/>
        </w:rPr>
        <w:t>改成</w:t>
      </w:r>
      <w:r>
        <w:rPr>
          <w:rFonts w:hint="eastAsia" w:ascii="宋体" w:hAnsi="宋体" w:eastAsia="宋体" w:cs="宋体"/>
          <w:b/>
          <w:bCs/>
          <w:sz w:val="24"/>
          <w:szCs w:val="24"/>
          <w:u w:val="single"/>
          <w:lang w:val="en-US" w:eastAsia="zh-CN"/>
        </w:rPr>
        <w:t>让中华民族从屈辱中站起来</w:t>
      </w:r>
      <w:r>
        <w:rPr>
          <w:rFonts w:hint="eastAsia" w:ascii="宋体" w:hAnsi="宋体" w:eastAsia="宋体" w:cs="宋体"/>
          <w:b w:val="0"/>
          <w:bCs w:val="0"/>
          <w:sz w:val="24"/>
          <w:szCs w:val="24"/>
          <w:lang w:val="en-US" w:eastAsia="zh-CN"/>
        </w:rPr>
        <w:t>的邓稼先），并思考修改前后哪一个更好？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2.要把六个小标题下的内容一定要删掉一个，你会选择删去哪一部分的内容？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理由：小标题是本文的一大特色，七年级学生首次接触，通过“改标题”让学生迅速感知文本内容，初步走近人物，体会小标题的妙处；本文选材适切，材料组织精当，通过“删篇幅”了解本文选材的精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嚼难句，谈看法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《常青藤》报编辑觉得文中</w:t>
      </w:r>
      <w:r>
        <w:rPr>
          <w:rFonts w:hint="eastAsia" w:ascii="宋体" w:hAnsi="宋体" w:eastAsia="宋体" w:cs="宋体"/>
          <w:b/>
          <w:bCs/>
          <w:sz w:val="24"/>
          <w:szCs w:val="24"/>
          <w:lang w:val="en-US" w:eastAsia="zh-CN"/>
        </w:rPr>
        <w:t>“我以为邓稼先如果是美国人，不可能成功地领导美国原子弹工程；奥本海默如果是中国人，也不可能成功地领导中国原子弹工程。”</w:t>
      </w:r>
      <w:r>
        <w:rPr>
          <w:rFonts w:hint="eastAsia" w:ascii="宋体" w:hAnsi="宋体" w:eastAsia="宋体" w:cs="宋体"/>
          <w:b w:val="0"/>
          <w:bCs w:val="0"/>
          <w:sz w:val="24"/>
          <w:szCs w:val="24"/>
          <w:lang w:val="en-US" w:eastAsia="zh-CN"/>
        </w:rPr>
        <w:t>这句话不利于展现邓稼先的光辉形象，可以删去或改写。结合全文内容请你写一封信告诉他你的看法。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（设计理由：“我以为邓稼先……也不可能成功地领导中国原子弹工程”是本文容易产生误读的地方，</w:t>
      </w:r>
      <w:r>
        <w:rPr>
          <w:rFonts w:hint="eastAsia" w:ascii="宋体" w:hAnsi="宋体" w:eastAsia="宋体" w:cs="宋体"/>
          <w:b/>
          <w:bCs/>
          <w:sz w:val="24"/>
          <w:szCs w:val="24"/>
          <w:lang w:val="en-US" w:eastAsia="zh-CN"/>
        </w:rPr>
        <w:t>通过揣摩品味该语句，深入理解邓稼先的个性品格是中国几千年传统文化所孕育的结果，更加立体地把握邓稼先这一人物形象，初步学习品味揣摩关键语句的含义和表达的妙处</w:t>
      </w:r>
      <w:r>
        <w:rPr>
          <w:rFonts w:hint="eastAsia" w:ascii="宋体" w:hAnsi="宋体" w:eastAsia="宋体" w:cs="宋体"/>
          <w:b w:val="0"/>
          <w:bCs w:val="0"/>
          <w:sz w:val="24"/>
          <w:szCs w:val="24"/>
          <w:lang w:val="en-US" w:eastAsia="zh-CN"/>
        </w:rPr>
        <w:t>）</w:t>
      </w:r>
    </w:p>
    <w:p>
      <w:pPr>
        <w:spacing w:line="360" w:lineRule="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C1B33"/>
    <w:rsid w:val="01267C7F"/>
    <w:rsid w:val="033E657C"/>
    <w:rsid w:val="03584B07"/>
    <w:rsid w:val="04A6293D"/>
    <w:rsid w:val="051A210D"/>
    <w:rsid w:val="05994FF3"/>
    <w:rsid w:val="07E91003"/>
    <w:rsid w:val="09755BF3"/>
    <w:rsid w:val="11161780"/>
    <w:rsid w:val="11516288"/>
    <w:rsid w:val="12AD3DF1"/>
    <w:rsid w:val="136C11D4"/>
    <w:rsid w:val="15FC2263"/>
    <w:rsid w:val="18036517"/>
    <w:rsid w:val="1DDA3651"/>
    <w:rsid w:val="1E0C0091"/>
    <w:rsid w:val="1FF16DE9"/>
    <w:rsid w:val="21397136"/>
    <w:rsid w:val="218667A0"/>
    <w:rsid w:val="219C1192"/>
    <w:rsid w:val="22FA5F1E"/>
    <w:rsid w:val="236C135F"/>
    <w:rsid w:val="277736BB"/>
    <w:rsid w:val="29125CDF"/>
    <w:rsid w:val="2B351452"/>
    <w:rsid w:val="2C0C12E9"/>
    <w:rsid w:val="2DB5752B"/>
    <w:rsid w:val="2EA01521"/>
    <w:rsid w:val="306F7E00"/>
    <w:rsid w:val="30FA26E7"/>
    <w:rsid w:val="31C31309"/>
    <w:rsid w:val="32316713"/>
    <w:rsid w:val="363D2169"/>
    <w:rsid w:val="383C38A5"/>
    <w:rsid w:val="3E406F8D"/>
    <w:rsid w:val="46E86926"/>
    <w:rsid w:val="4A0828A5"/>
    <w:rsid w:val="4C013AD6"/>
    <w:rsid w:val="501B23F8"/>
    <w:rsid w:val="516C0692"/>
    <w:rsid w:val="527A6E16"/>
    <w:rsid w:val="52D60783"/>
    <w:rsid w:val="543906E2"/>
    <w:rsid w:val="54CC29C1"/>
    <w:rsid w:val="56876354"/>
    <w:rsid w:val="58243A78"/>
    <w:rsid w:val="59512029"/>
    <w:rsid w:val="5EC42F01"/>
    <w:rsid w:val="609F37F3"/>
    <w:rsid w:val="63CE595E"/>
    <w:rsid w:val="65D311DA"/>
    <w:rsid w:val="6E24316D"/>
    <w:rsid w:val="70370A90"/>
    <w:rsid w:val="70DD6C6C"/>
    <w:rsid w:val="7188210E"/>
    <w:rsid w:val="75933D84"/>
    <w:rsid w:val="779F0A15"/>
    <w:rsid w:val="78EC1B33"/>
    <w:rsid w:val="7A7E6B5C"/>
    <w:rsid w:val="7CED18D3"/>
    <w:rsid w:val="7F2146DB"/>
    <w:rsid w:val="7F6B3189"/>
    <w:rsid w:val="7F82469D"/>
    <w:rsid w:val="7F8D7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2018-02-26T05:21:00Z</dcterms:created>
  <dc:creator>lenovo</dc:creator>
  <cp:lastModifiedBy>cloudy</cp:lastModifiedBy>
  <dcterms:modified xsi:type="dcterms:W3CDTF">2018-04-02T01:51:04Z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