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cs="宋体" w:eastAsia="黑体" w:hAnsi="宋体"/>
          <w:kern w:val="0"/>
          <w:sz w:val="24"/>
          <w:szCs w:val="24"/>
        </w:rPr>
      </w:pPr>
      <w:r>
        <w:rPr>
          <w:rFonts w:ascii="黑体" w:cs="宋体" w:eastAsia="黑体" w:hAnsi="黑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cs="宋体" w:eastAsia="黑体" w:hAnsi="黑体" w:hint="eastAsia"/>
          <w:kern w:val="0"/>
        </w:rPr>
        <w:t>每日值班记录</w:t>
      </w:r>
    </w:p>
    <w:tbl>
      <w:tblPr>
        <w:tblStyle w:val="style105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67"/>
        <w:gridCol w:w="246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rPr>
          <w:trHeight w:val="65" w:hRule="atLeast"/>
        </w:trPr>
        <w:tc>
          <w:tcPr>
            <w:tcW w:w="1396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楷体" w:cs="宋体" w:eastAsia="楷体" w:hAnsi="楷体" w:hint="default"/>
                <w:kern w:val="0"/>
                <w:szCs w:val="21"/>
                <w:u w:val="single"/>
                <w:lang w:val="en-US"/>
              </w:rPr>
              <w:t>姚财兴</w:t>
            </w:r>
            <w:r>
              <w:rPr>
                <w:rFonts w:ascii="楷体" w:cs="宋体" w:eastAsia="楷体" w:hAnsi="楷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5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七：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方正小标宋简体" w:cs="宋体" w:hAnsi="宋体" w:hint="default"/>
                <w:kern w:val="0"/>
                <w:szCs w:val="21"/>
                <w:u w:val="single"/>
                <w:lang w:val="en-US"/>
              </w:rPr>
              <w:t>王萌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7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方正小标宋简体" w:cs="宋体" w:eastAsia="方正小标宋简体" w:hAnsi="宋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八：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  <w:lang w:val="en-US" w:eastAsia="zh-CN"/>
              </w:rPr>
              <w:t>顾浩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85" w:type="dxa"/>
            <w:gridSpan w:val="15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方正小标宋简体" w:cs="宋体" w:eastAsia="方正小标宋简体" w:hAnsi="宋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九：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cs="宋体" w:hAnsi="宋体" w:hint="default"/>
                <w:kern w:val="0"/>
                <w:szCs w:val="21"/>
                <w:u w:val="single"/>
                <w:lang w:val="en-US"/>
              </w:rPr>
              <w:t>王金权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/>
        <w:trPr>
          <w:trHeight w:val="434" w:hRule="atLeast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日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 </w:t>
            </w: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  <w:lang w:val="en-US" w:eastAsia="zh-CN"/>
              </w:rPr>
              <w:t>3.1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730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星期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  <w:lang w:val="en-US" w:eastAsia="zh-CN"/>
              </w:rPr>
              <w:t>五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cs="宋体" w:hAnsi="宋体" w:hint="default"/>
                <w:kern w:val="0"/>
                <w:szCs w:val="21"/>
                <w:u w:val="single"/>
                <w:lang w:val="en-US"/>
              </w:rPr>
              <w:t>阴有雨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/>
        <w:trPr>
          <w:trHeight w:val="260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情况记录</w:t>
            </w:r>
          </w:p>
        </w:tc>
      </w:tr>
      <w:tr>
        <w:tblPrEx/>
        <w:trPr>
          <w:trHeight w:val="804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6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学生能按时到校，主动和老师，保安打招呼，家长义工认真负责，学校门口两人行横道间没有车辆</w:t>
            </w: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停留。</w:t>
            </w:r>
          </w:p>
        </w:tc>
      </w:tr>
      <w:tr>
        <w:tblPrEx/>
        <w:trPr>
          <w:trHeight w:val="55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班级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情况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填达标数1/2/3）</w:t>
            </w:r>
          </w:p>
          <w:p>
            <w:pPr>
              <w:pStyle w:val="style0"/>
              <w:spacing w:lineRule="exact" w:line="24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情况</w:t>
            </w:r>
          </w:p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289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</w:tr>
      <w:tr>
        <w:tblPrEx/>
        <w:trPr>
          <w:trHeight w:val="326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55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cs="宋体" w:eastAsia="楷体" w:hAnsi="楷体"/>
                <w:kern w:val="0"/>
                <w:szCs w:val="21"/>
                <w:lang w:val="en-US"/>
              </w:rPr>
              <w:t>✔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10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0-7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填优A、良B、中C ）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31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</w:tr>
      <w:tr>
        <w:tblPrEx/>
        <w:trPr>
          <w:trHeight w:val="283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87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13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9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10-9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运动场地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1" w:leftChars="-37" w:right="-115" w:rightChars="-55" w:hanging="77" w:hangingChars="43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做操状态及整体情况</w:t>
            </w:r>
          </w:p>
          <w:p>
            <w:pPr>
              <w:pStyle w:val="style0"/>
              <w:widowControl/>
              <w:spacing w:lineRule="exact" w:line="240"/>
              <w:ind w:right="9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17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</w:tr>
      <w:tr>
        <w:tblPrEx/>
        <w:trPr>
          <w:trHeight w:val="12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both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38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</w:rPr>
              <w:t xml:space="preserve"> </w:t>
            </w: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62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30-12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食堂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162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</w:tr>
      <w:tr>
        <w:tblPrEx/>
        <w:trPr>
          <w:trHeight w:val="20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ind w:firstLine="210" w:firstLineChars="1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95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00-1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420" w:hanging="42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</w:tr>
      <w:tr>
        <w:tblPrEx/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b w:val="false"/>
                <w:bCs w:val="false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全体随机</w:t>
            </w:r>
          </w:p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实验室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运动场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总体情况良好。</w:t>
            </w:r>
          </w:p>
        </w:tc>
      </w:tr>
      <w:tr>
        <w:tblPrEx/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</w:tr>
      <w:tr>
        <w:tblPrEx/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B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549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17:30</w:t>
            </w:r>
          </w:p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-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七年级放学及时，学生放学有序，因雨天，校门口比平时要堵。</w:t>
            </w:r>
          </w:p>
        </w:tc>
      </w:tr>
      <w:tr>
        <w:tblPrEx/>
        <w:trPr>
          <w:trHeight w:val="557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无</w:t>
            </w:r>
          </w:p>
        </w:tc>
      </w:tr>
      <w:tr>
        <w:tblPrEx/>
        <w:trPr>
          <w:trHeight w:val="405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/>
        <w:trPr>
          <w:trHeight w:val="534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67" w:right="-107" w:rightChars="-51" w:hanging="140" w:hangingChars="67"/>
              <w:jc w:val="center"/>
              <w:rPr>
                <w:rFonts w:ascii="楷体" w:cs="Times New Roman" w:eastAsia="楷体" w:hAnsi="楷体"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施静老师6：45前就已到班指导学生打扫卫生，带领学生</w:t>
            </w:r>
            <w:bookmarkStart w:id="0" w:name="_GoBack"/>
            <w:bookmarkEnd w:id="0"/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进行早读，学生的学习氛围较好。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三号楼一楼饮水机有学生把葡萄干倒在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上面，班主任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需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加强教育。</w:t>
            </w:r>
          </w:p>
        </w:tc>
      </w:tr>
      <w:tr>
        <w:tblPrEx/>
        <w:trPr>
          <w:trHeight w:val="1139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67" w:right="-107" w:rightChars="-51" w:hanging="140" w:hangingChars="67"/>
              <w:jc w:val="center"/>
              <w:rPr>
                <w:rFonts w:ascii="楷体" w:cs="Times New Roman" w:eastAsia="楷体" w:hAnsi="楷体"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大课间进场年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级交叉，仍需优化。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2.午自习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12:40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结束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后，辅导老师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组织学生及时午休，中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途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学生不能倒水等。</w:t>
            </w:r>
          </w:p>
        </w:tc>
      </w:tr>
    </w:tbl>
    <w:p>
      <w:pPr>
        <w:pStyle w:val="style0"/>
        <w:widowControl/>
        <w:spacing w:lineRule="exact" w:line="240"/>
        <w:jc w:val="left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18"/>
          <w:szCs w:val="18"/>
        </w:rPr>
        <w:t> </w:t>
      </w:r>
      <w:r>
        <w:rPr>
          <w:rFonts w:ascii="宋体" w:cs="宋体" w:eastAsia="宋体" w:hAnsi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pStyle w:val="style0"/>
        <w:widowControl/>
        <w:spacing w:lineRule="exact" w:line="240"/>
        <w:jc w:val="left"/>
        <w:rPr>
          <w:rFonts w:ascii="宋体" w:cs="宋体" w:eastAsia="宋体" w:hAnsi="宋体" w:hint="eastAsia"/>
          <w:color w:val="ff0000"/>
          <w:kern w:val="0"/>
          <w:sz w:val="18"/>
          <w:szCs w:val="18"/>
        </w:rPr>
      </w:pP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pStyle w:val="style0"/>
        <w:widowControl/>
        <w:spacing w:lineRule="exact" w:line="240"/>
        <w:jc w:val="left"/>
        <w:rPr>
          <w:color w:val="ff0000"/>
          <w:sz w:val="18"/>
          <w:szCs w:val="18"/>
        </w:rPr>
      </w:pP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 xml:space="preserve">    </w:t>
      </w:r>
      <w:r>
        <w:rPr>
          <w:rFonts w:ascii="宋体" w:cs="宋体" w:eastAsia="宋体" w:hAnsi="宋体" w:hint="eastAsia"/>
          <w:b/>
          <w:color w:val="ff0000"/>
          <w:kern w:val="0"/>
          <w:sz w:val="18"/>
          <w:szCs w:val="18"/>
        </w:rPr>
        <w:t>（2）统一标准</w:t>
      </w: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 w:orient="portrait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qFormat/>
    <w:uiPriority w:val="10"/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1250</Words>
  <Pages>1</Pages>
  <Characters>1337</Characters>
  <Application>WPS Office</Application>
  <DocSecurity>0</DocSecurity>
  <Paragraphs>558</Paragraphs>
  <ScaleCrop>false</ScaleCrop>
  <Company>Lenovo</Company>
  <LinksUpToDate>false</LinksUpToDate>
  <CharactersWithSpaces>1414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2019-02-15T03:37:00Z</dcterms:created>
  <dc:creator>Administrator</dc:creator>
  <lastModifiedBy>PAR-AL00</lastModifiedBy>
  <lastPrinted>2019-02-16T01:35:00Z</lastPrinted>
  <dcterms:modified xsi:type="dcterms:W3CDTF">2019-03-01T12:38:40Z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