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田径社团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激发学生学习兴趣，加强特长生的培养，</w:t>
            </w:r>
            <w:r>
              <w:rPr>
                <w:rFonts w:hint="eastAsia"/>
                <w:sz w:val="28"/>
                <w:szCs w:val="28"/>
              </w:rPr>
              <w:t>通过对田径运动技术的训练，提高运动员技术水平和身体素质，争取在市、区田径运动会上取得较好成绩。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6月中旬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√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加强对学生的运动技能和体能的训练，测试各人的专项！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1C00E69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2019-02-19T07:18:19Z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