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银河幼儿园校本研修工作总结</w:t>
      </w:r>
    </w:p>
    <w:p>
      <w:pPr>
        <w:spacing w:line="360" w:lineRule="auto"/>
        <w:jc w:val="center"/>
        <w:rPr>
          <w:rFonts w:hint="eastAsia"/>
          <w:lang w:val="en-US"/>
        </w:rPr>
      </w:pPr>
      <w:r>
        <w:rPr>
          <w:rFonts w:hint="eastAsia" w:ascii="仿宋" w:hAnsi="仿宋" w:eastAsia="仿宋" w:cs="仿宋"/>
          <w:b/>
          <w:bCs/>
          <w:sz w:val="24"/>
          <w:szCs w:val="24"/>
        </w:rPr>
        <w:t>常州市新北区银河幼儿园</w:t>
      </w: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36"/>
          <w:lang w:val="en-US" w:eastAsia="zh-CN"/>
        </w:rPr>
        <w:t xml:space="preserve"> </w:t>
      </w:r>
    </w:p>
    <w:p>
      <w:pPr>
        <w:spacing w:line="360" w:lineRule="auto"/>
        <w:ind w:firstLine="420" w:firstLineChars="200"/>
        <w:jc w:val="left"/>
        <w:rPr>
          <w:rFonts w:hint="eastAsia" w:ascii="宋体" w:hAnsi="宋体"/>
          <w:bCs/>
          <w:szCs w:val="21"/>
          <w:lang w:eastAsia="zh-CN"/>
        </w:rPr>
      </w:pPr>
      <w:r>
        <w:rPr>
          <w:rFonts w:hint="eastAsia"/>
        </w:rPr>
        <w:t>在园所</w:t>
      </w:r>
      <w:r>
        <w:rPr>
          <w:rFonts w:hint="eastAsia"/>
          <w:lang w:eastAsia="zh-CN"/>
        </w:rPr>
        <w:t>支持性课程建设不</w:t>
      </w:r>
      <w:bookmarkStart w:id="0" w:name="_GoBack"/>
      <w:bookmarkEnd w:id="0"/>
      <w:r>
        <w:rPr>
          <w:rFonts w:hint="eastAsia"/>
          <w:lang w:eastAsia="zh-CN"/>
        </w:rPr>
        <w:t>断深入研究与推进实施的过程，银河幼儿园的课程始终强调着游戏精神的弥漫、生本味道的凸显和师幼发展的落实，本学期围绕课程审议的常态实施、阶段课程的传承创新、环境营造的评估调整、活动组织的标准建立以及档案评估的动态优化，积极支持</w:t>
      </w:r>
      <w:r>
        <w:rPr>
          <w:rFonts w:hint="eastAsia" w:ascii="宋体" w:hAnsi="宋体"/>
          <w:bCs/>
          <w:szCs w:val="21"/>
        </w:rPr>
        <w:t>幼儿在自主且有计划的生活中、愉悦且有收获的游戏中、好玩且有挑战的学习中建立自主、自尊、自信的心理状态，养成独立、好学、探究的习惯意识，形成积极向上、善思乐为的社会品质，积累富于个性的成长经验</w:t>
      </w:r>
      <w:r>
        <w:rPr>
          <w:rFonts w:hint="eastAsia" w:ascii="宋体" w:hAnsi="宋体"/>
          <w:bCs/>
          <w:szCs w:val="21"/>
          <w:lang w:eastAsia="zh-CN"/>
        </w:rPr>
        <w:t>，过程中引导教师在幼儿共同生活的过程中继续淬幼儿炼行为观察力、游戏分享交流力、作品分析解读力、课程设计实施力与动态评估优化力。</w:t>
      </w:r>
    </w:p>
    <w:p>
      <w:pPr>
        <w:spacing w:line="360" w:lineRule="auto"/>
        <w:ind w:firstLine="422" w:firstLineChars="200"/>
        <w:jc w:val="left"/>
        <w:rPr>
          <w:rFonts w:hint="eastAsia" w:ascii="宋体" w:hAnsi="宋体"/>
          <w:b/>
          <w:bCs/>
          <w:szCs w:val="21"/>
        </w:rPr>
      </w:pPr>
      <w:r>
        <w:rPr>
          <w:rFonts w:hint="eastAsia" w:ascii="宋体" w:hAnsi="宋体"/>
          <w:b/>
          <w:bCs/>
          <w:szCs w:val="21"/>
        </w:rPr>
        <w:t>一、借</w:t>
      </w:r>
      <w:r>
        <w:rPr>
          <w:rFonts w:hint="eastAsia" w:ascii="宋体" w:hAnsi="宋体"/>
          <w:b/>
          <w:bCs/>
          <w:szCs w:val="21"/>
          <w:lang w:eastAsia="zh-CN"/>
        </w:rPr>
        <w:t>课程审议常态实施保幼儿本位</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eastAsia="zh-CN"/>
        </w:rPr>
        <w:t>基于支持性课程生本味道的课程建设目标，倡导</w:t>
      </w:r>
      <w:r>
        <w:rPr>
          <w:rFonts w:hint="eastAsia" w:ascii="宋体" w:hAnsi="宋体" w:cs="宋体"/>
          <w:szCs w:val="21"/>
        </w:rPr>
        <w:t>游戏精神</w:t>
      </w:r>
      <w:r>
        <w:rPr>
          <w:rFonts w:hint="eastAsia" w:ascii="宋体" w:hAnsi="宋体" w:cs="宋体"/>
          <w:szCs w:val="21"/>
          <w:lang w:eastAsia="zh-CN"/>
        </w:rPr>
        <w:t>在</w:t>
      </w:r>
      <w:r>
        <w:rPr>
          <w:rFonts w:hint="eastAsia" w:ascii="宋体" w:hAnsi="宋体" w:cs="宋体"/>
          <w:szCs w:val="21"/>
        </w:rPr>
        <w:t>幼儿园</w:t>
      </w:r>
      <w:r>
        <w:rPr>
          <w:rFonts w:hint="eastAsia" w:ascii="宋体" w:hAnsi="宋体" w:cs="宋体"/>
          <w:szCs w:val="21"/>
          <w:lang w:eastAsia="zh-CN"/>
        </w:rPr>
        <w:t>课程中的落地，以保障幼儿的每一天都精彩、每环节都自主</w:t>
      </w:r>
      <w:r>
        <w:rPr>
          <w:rFonts w:hint="eastAsia" w:ascii="宋体" w:hAnsi="宋体" w:cs="宋体"/>
          <w:szCs w:val="21"/>
        </w:rPr>
        <w:t>。</w:t>
      </w:r>
      <w:r>
        <w:rPr>
          <w:rFonts w:hint="eastAsia" w:ascii="宋体" w:hAnsi="宋体" w:cs="宋体"/>
          <w:szCs w:val="21"/>
          <w:lang w:eastAsia="zh-CN"/>
        </w:rPr>
        <w:t>从本学期伊始的课程核心组关于“课程领导力”的专题教研起，借助期初课程的审议、再调查、数据分析、级组设计实施到全园汇报交流，各个级组关于期初课程更为贴近幼儿当下生活、游戏需要的实践落地生根。小班组的期初适应课程，关注分离焦虑期幼儿对于环境、材料的特殊需求，拓展区域游戏课程的内涵，自然加速小班新生的入园适应；中班组的期初生成课程，聚焦中班生的成长与对新环境的认知需要，班本化地聚焦生活独立入园、使用筷子、身体变化、新园区认知等个性化的探究点，引导幼儿关注自己、关注环境、关注成长，从而收获有个性的发展；大班组的期初阶段课程，从大带小、环境设计、表征记录、升国旗等活动，借助数据呈现幼儿的发展，借助故事评估幼儿的成长、借助活动架接家长的参与，让课程共同体初具雏形。</w:t>
      </w:r>
    </w:p>
    <w:p>
      <w:pPr>
        <w:spacing w:line="360" w:lineRule="auto"/>
        <w:ind w:firstLine="420" w:firstLineChars="200"/>
        <w:rPr>
          <w:rFonts w:hint="eastAsia" w:ascii="宋体" w:hAnsi="宋体" w:cs="仿宋_GB2312"/>
          <w:szCs w:val="21"/>
        </w:rPr>
      </w:pPr>
      <w:r>
        <w:rPr>
          <w:rFonts w:hint="eastAsia" w:ascii="宋体" w:hAnsi="宋体" w:cs="宋体"/>
          <w:szCs w:val="21"/>
          <w:lang w:eastAsia="zh-CN"/>
        </w:rPr>
        <w:t>而不仅仅是期初课程，在秋季的自然资源开发、银幼的十八周岁献礼等活动中各级组在课程</w:t>
      </w:r>
      <w:r>
        <w:rPr>
          <w:rFonts w:hint="eastAsia" w:ascii="宋体" w:hAnsi="宋体" w:cs="宋体"/>
          <w:szCs w:val="21"/>
        </w:rPr>
        <w:t>活动设计、组织实施中</w:t>
      </w:r>
      <w:r>
        <w:rPr>
          <w:rFonts w:hint="eastAsia" w:ascii="宋体" w:hAnsi="宋体" w:cs="宋体"/>
          <w:szCs w:val="21"/>
          <w:lang w:eastAsia="zh-CN"/>
        </w:rPr>
        <w:t>始终</w:t>
      </w:r>
      <w:r>
        <w:rPr>
          <w:rFonts w:hint="eastAsia" w:ascii="宋体" w:hAnsi="宋体" w:cs="仿宋_GB2312"/>
          <w:szCs w:val="21"/>
        </w:rPr>
        <w:t>围绕“调查幼儿所需”、“倾听孩子参与主题活动的计划”</w:t>
      </w:r>
      <w:r>
        <w:rPr>
          <w:rFonts w:hint="eastAsia" w:ascii="宋体" w:hAnsi="宋体" w:cs="仿宋_GB2312"/>
          <w:szCs w:val="21"/>
          <w:lang w:eastAsia="zh-CN"/>
        </w:rPr>
        <w:t>，</w:t>
      </w:r>
      <w:r>
        <w:rPr>
          <w:rFonts w:hint="eastAsia" w:ascii="宋体" w:hAnsi="宋体" w:cs="仿宋_GB2312"/>
          <w:szCs w:val="21"/>
        </w:rPr>
        <w:t>搜集幼儿个性经验需要，形成抽样分类汇总，明确幼儿所需与大概的活动计划，</w:t>
      </w:r>
      <w:r>
        <w:rPr>
          <w:rFonts w:hint="eastAsia" w:ascii="宋体" w:hAnsi="宋体" w:cs="仿宋_GB2312"/>
          <w:szCs w:val="21"/>
          <w:lang w:eastAsia="zh-CN"/>
        </w:rPr>
        <w:t>最终再</w:t>
      </w:r>
      <w:r>
        <w:rPr>
          <w:rFonts w:hint="eastAsia" w:ascii="宋体" w:hAnsi="宋体" w:cs="仿宋_GB2312"/>
          <w:szCs w:val="21"/>
        </w:rPr>
        <w:t>集体汇总形成级组资源，依此设计级组课程实施计划</w:t>
      </w:r>
      <w:r>
        <w:rPr>
          <w:rFonts w:hint="eastAsia" w:ascii="宋体" w:hAnsi="宋体" w:cs="仿宋_GB2312"/>
          <w:szCs w:val="21"/>
          <w:lang w:eastAsia="zh-CN"/>
        </w:rPr>
        <w:t>与路径，并尝试突破单一的集体组织形式</w:t>
      </w:r>
      <w:r>
        <w:rPr>
          <w:rFonts w:hint="eastAsia" w:ascii="宋体" w:hAnsi="宋体" w:cs="仿宋_GB2312"/>
          <w:szCs w:val="21"/>
        </w:rPr>
        <w:t>。</w:t>
      </w:r>
    </w:p>
    <w:p>
      <w:pPr>
        <w:spacing w:line="360" w:lineRule="auto"/>
        <w:ind w:firstLine="420" w:firstLineChars="200"/>
        <w:rPr>
          <w:rFonts w:hint="eastAsia" w:ascii="宋体" w:hAnsi="宋体" w:cs="宋体"/>
          <w:bCs/>
          <w:color w:val="000000"/>
          <w:kern w:val="0"/>
          <w:szCs w:val="21"/>
        </w:rPr>
      </w:pPr>
      <w:r>
        <w:rPr>
          <w:rFonts w:hint="eastAsia" w:ascii="宋体" w:hAnsi="宋体" w:cs="宋体"/>
          <w:bCs/>
          <w:color w:val="000000"/>
          <w:kern w:val="0"/>
          <w:szCs w:val="21"/>
        </w:rPr>
        <w:t>经过一学期的探索、实践、研究、反思、积累以及再实践的过程，</w:t>
      </w:r>
      <w:r>
        <w:rPr>
          <w:rFonts w:hint="eastAsia" w:ascii="宋体" w:hAnsi="宋体" w:cs="宋体"/>
          <w:bCs/>
          <w:color w:val="000000"/>
          <w:kern w:val="0"/>
          <w:szCs w:val="21"/>
          <w:lang w:eastAsia="zh-CN"/>
        </w:rPr>
        <w:t>我们巩固了课程</w:t>
      </w:r>
      <w:r>
        <w:rPr>
          <w:rFonts w:hint="eastAsia" w:ascii="宋体" w:hAnsi="宋体" w:cs="宋体"/>
          <w:bCs/>
          <w:color w:val="000000"/>
          <w:kern w:val="0"/>
          <w:szCs w:val="21"/>
        </w:rPr>
        <w:t>形成起点是了解孩子的所想和期盼，过程前后围绕幼儿兴趣把握核心价值，过程中强调以幼儿主动体验为主、重视环境隐性教育、材料投放层次以及教师共玩，共经历；结束前后围绕幼儿活动状态、能力水平发展性评价手段反思性实践的课程实施基本路径。</w:t>
      </w:r>
    </w:p>
    <w:p>
      <w:pPr>
        <w:spacing w:line="360" w:lineRule="auto"/>
        <w:ind w:firstLine="422" w:firstLineChars="200"/>
        <w:jc w:val="left"/>
        <w:rPr>
          <w:rFonts w:hint="eastAsia" w:ascii="宋体" w:hAnsi="宋体"/>
          <w:b/>
          <w:bCs/>
          <w:szCs w:val="21"/>
          <w:lang w:eastAsia="zh-CN"/>
        </w:rPr>
      </w:pPr>
      <w:r>
        <w:rPr>
          <w:rFonts w:hint="eastAsia" w:ascii="宋体" w:hAnsi="宋体"/>
          <w:b/>
          <w:bCs/>
          <w:szCs w:val="21"/>
        </w:rPr>
        <w:t>二、</w:t>
      </w:r>
      <w:r>
        <w:rPr>
          <w:rFonts w:hint="eastAsia" w:ascii="宋体" w:hAnsi="宋体"/>
          <w:b/>
          <w:bCs/>
          <w:szCs w:val="21"/>
          <w:lang w:eastAsia="zh-CN"/>
        </w:rPr>
        <w:t>推小微课程创新设计促形态转型</w:t>
      </w:r>
    </w:p>
    <w:p>
      <w:pPr>
        <w:spacing w:line="360" w:lineRule="auto"/>
        <w:ind w:firstLine="420" w:firstLineChars="200"/>
        <w:jc w:val="left"/>
        <w:rPr>
          <w:rFonts w:hint="eastAsia" w:ascii="宋体" w:hAnsi="宋体"/>
          <w:bCs/>
          <w:szCs w:val="21"/>
          <w:lang w:val="en-US" w:eastAsia="zh-CN"/>
        </w:rPr>
      </w:pPr>
      <w:r>
        <w:rPr>
          <w:rFonts w:hint="eastAsia" w:ascii="宋体" w:hAnsi="宋体"/>
          <w:bCs/>
          <w:szCs w:val="21"/>
          <w:lang w:eastAsia="zh-CN"/>
        </w:rPr>
        <w:t>立足支持性课程的不断推进，在课程审议调查幼儿真实所需的基础上，我们聚焦关注并优化预设与生成的关系，再次重新审视教师的“教”与幼儿的“学”两者的关系，强化教师基于幼儿行为观察的课程建设能力。而截至目前为止，小班组传承性优化主题</w:t>
      </w:r>
      <w:r>
        <w:rPr>
          <w:rFonts w:hint="eastAsia" w:ascii="宋体" w:hAnsi="宋体"/>
          <w:bCs/>
          <w:szCs w:val="21"/>
          <w:lang w:val="en-US" w:eastAsia="zh-CN"/>
        </w:rPr>
        <w:t>5个，各班自主研发的生成性小微课程9个，中大班两者的对比分别为：6:22,4:37（详见附表1）。而根据课程实施的来源分析，我们发现支持性课程建设走向生本课程的历程中，我们将买来的教材这根拐杖扔掉，将传承下来的阶段性课程立足多元调查与课程审议进行每一次实施的再优化，而这种优化立足儿童本位，聚焦幼儿周围世界的日常生活、自然资源、游戏材料以及自身变化等更为生活化、 游戏化的主题，让支持性课程的形态逐步由课本转变为幼儿鲜活生动的自然生活，让幼儿学习活动的形态逐步由传统的预设转变为生活中学、玩中学、做中学，让教师保教实施的形态逐步由备文本准变为备环境环境、备幼儿当下的所需，一学期的小微课程创新设计我们逐步走向支持性课程形态转型的实践期。</w:t>
      </w:r>
    </w:p>
    <w:p>
      <w:pPr>
        <w:spacing w:line="360" w:lineRule="auto"/>
        <w:jc w:val="center"/>
        <w:rPr>
          <w:rFonts w:hint="eastAsia" w:ascii="宋体" w:hAnsi="宋体"/>
          <w:b/>
          <w:bCs w:val="0"/>
          <w:szCs w:val="21"/>
          <w:lang w:val="en-US" w:eastAsia="zh-CN"/>
        </w:rPr>
      </w:pPr>
      <w:r>
        <w:rPr>
          <w:rFonts w:hint="eastAsia" w:ascii="宋体" w:hAnsi="宋体"/>
          <w:b/>
          <w:bCs w:val="0"/>
          <w:szCs w:val="21"/>
          <w:lang w:val="en-US" w:eastAsia="zh-CN"/>
        </w:rPr>
        <w:t>附表1《2018-2019学年第一学期银河幼儿园课程类型占比》</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490"/>
        <w:gridCol w:w="1194"/>
        <w:gridCol w:w="86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传承性课程</w:t>
            </w:r>
          </w:p>
        </w:tc>
        <w:tc>
          <w:tcPr>
            <w:tcW w:w="6594" w:type="dxa"/>
            <w:gridSpan w:val="4"/>
            <w:vAlign w:val="top"/>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班本化小微课程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jc w:val="center"/>
              <w:rPr>
                <w:rFonts w:hint="eastAsia" w:ascii="仿宋" w:hAnsi="仿宋" w:eastAsia="仿宋" w:cs="仿宋"/>
                <w:b/>
                <w:bCs/>
                <w:sz w:val="21"/>
                <w:szCs w:val="21"/>
                <w:lang w:eastAsia="zh-CN"/>
              </w:rPr>
            </w:pPr>
            <w:r>
              <w:rPr>
                <w:rFonts w:hint="eastAsia" w:ascii="仿宋" w:hAnsi="仿宋" w:eastAsia="仿宋" w:cs="仿宋"/>
                <w:b/>
                <w:bCs/>
                <w:color w:val="FF0000"/>
                <w:sz w:val="21"/>
                <w:szCs w:val="21"/>
                <w:lang w:eastAsia="zh-CN"/>
              </w:rPr>
              <w:t>小</w:t>
            </w:r>
            <w:r>
              <w:rPr>
                <w:rFonts w:hint="eastAsia" w:ascii="仿宋" w:hAnsi="仿宋" w:eastAsia="仿宋" w:cs="仿宋"/>
                <w:b/>
                <w:bCs/>
                <w:color w:val="FF0000"/>
                <w:sz w:val="21"/>
                <w:szCs w:val="21"/>
                <w:lang w:val="en-US" w:eastAsia="zh-CN"/>
              </w:rPr>
              <w:t xml:space="preserve">   </w:t>
            </w:r>
            <w:r>
              <w:rPr>
                <w:rFonts w:hint="eastAsia" w:ascii="仿宋" w:hAnsi="仿宋" w:eastAsia="仿宋" w:cs="仿宋"/>
                <w:b/>
                <w:bCs/>
                <w:color w:val="FF0000"/>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sz w:val="21"/>
                <w:szCs w:val="21"/>
              </w:rPr>
            </w:pPr>
            <w:r>
              <w:rPr>
                <w:rFonts w:hint="eastAsia" w:ascii="仿宋" w:hAnsi="仿宋" w:eastAsia="仿宋" w:cs="仿宋"/>
                <w:sz w:val="21"/>
                <w:szCs w:val="21"/>
              </w:rPr>
              <w:t>《开开心心上幼儿园》</w:t>
            </w:r>
          </w:p>
        </w:tc>
        <w:tc>
          <w:tcPr>
            <w:tcW w:w="3684"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《有用的五官》</w:t>
            </w:r>
          </w:p>
        </w:tc>
        <w:tc>
          <w:tcPr>
            <w:tcW w:w="2910"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《好吃的蔬菜》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sz w:val="21"/>
                <w:szCs w:val="21"/>
              </w:rPr>
            </w:pPr>
            <w:r>
              <w:rPr>
                <w:rFonts w:hint="eastAsia" w:ascii="仿宋" w:hAnsi="仿宋" w:eastAsia="仿宋" w:cs="仿宋"/>
                <w:sz w:val="21"/>
                <w:szCs w:val="21"/>
              </w:rPr>
              <w:t>《我是礼貌好娃娃》</w:t>
            </w:r>
          </w:p>
        </w:tc>
        <w:tc>
          <w:tcPr>
            <w:tcW w:w="3684"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《好玩的玩具》</w:t>
            </w:r>
          </w:p>
        </w:tc>
        <w:tc>
          <w:tcPr>
            <w:tcW w:w="2910"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《安于所习，户外活动》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sz w:val="21"/>
                <w:szCs w:val="21"/>
              </w:rPr>
            </w:pPr>
            <w:r>
              <w:rPr>
                <w:rFonts w:hint="eastAsia" w:ascii="仿宋" w:hAnsi="仿宋" w:eastAsia="仿宋" w:cs="仿宋"/>
                <w:sz w:val="21"/>
                <w:szCs w:val="21"/>
              </w:rPr>
              <w:t>《美味的秋天》</w:t>
            </w:r>
          </w:p>
        </w:tc>
        <w:tc>
          <w:tcPr>
            <w:tcW w:w="3684"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《神奇的玉米》</w:t>
            </w:r>
          </w:p>
        </w:tc>
        <w:tc>
          <w:tcPr>
            <w:tcW w:w="2910"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《橘子宝宝》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sz w:val="21"/>
                <w:szCs w:val="21"/>
              </w:rPr>
            </w:pPr>
            <w:r>
              <w:rPr>
                <w:rFonts w:hint="eastAsia" w:ascii="仿宋" w:hAnsi="仿宋" w:eastAsia="仿宋" w:cs="仿宋"/>
                <w:sz w:val="21"/>
                <w:szCs w:val="21"/>
              </w:rPr>
              <w:t>《我是小小银幼娃》</w:t>
            </w:r>
          </w:p>
        </w:tc>
        <w:tc>
          <w:tcPr>
            <w:tcW w:w="3684"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《自主进餐—我能行》</w:t>
            </w:r>
          </w:p>
        </w:tc>
        <w:tc>
          <w:tcPr>
            <w:tcW w:w="2910"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《你好，落叶》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sz w:val="21"/>
                <w:szCs w:val="21"/>
              </w:rPr>
            </w:pPr>
            <w:r>
              <w:rPr>
                <w:rFonts w:hint="eastAsia" w:ascii="仿宋" w:hAnsi="仿宋" w:eastAsia="仿宋" w:cs="仿宋"/>
                <w:sz w:val="21"/>
                <w:szCs w:val="21"/>
              </w:rPr>
              <w:t>《冬天到》</w:t>
            </w:r>
          </w:p>
        </w:tc>
        <w:tc>
          <w:tcPr>
            <w:tcW w:w="3684"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《美味的蔬菜》</w:t>
            </w:r>
          </w:p>
        </w:tc>
        <w:tc>
          <w:tcPr>
            <w:tcW w:w="2910" w:type="dxa"/>
            <w:gridSpan w:val="2"/>
            <w:vAlign w:val="top"/>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b/>
                <w:bCs/>
                <w:color w:val="FF0000"/>
                <w:sz w:val="21"/>
                <w:szCs w:val="21"/>
              </w:rPr>
            </w:pPr>
            <w:r>
              <w:rPr>
                <w:rFonts w:hint="eastAsia" w:ascii="仿宋" w:hAnsi="仿宋" w:eastAsia="仿宋" w:cs="仿宋"/>
                <w:b/>
                <w:bCs/>
                <w:color w:val="FF0000"/>
                <w:sz w:val="21"/>
                <w:szCs w:val="21"/>
              </w:rPr>
              <w:t>5</w:t>
            </w:r>
          </w:p>
        </w:tc>
        <w:tc>
          <w:tcPr>
            <w:tcW w:w="6594" w:type="dxa"/>
            <w:gridSpan w:val="4"/>
            <w:vAlign w:val="top"/>
          </w:tcPr>
          <w:p>
            <w:pPr>
              <w:jc w:val="center"/>
              <w:rPr>
                <w:rFonts w:hint="eastAsia"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jc w:val="center"/>
              <w:rPr>
                <w:rFonts w:hint="eastAsia"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中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b w:val="0"/>
                <w:bCs w:val="0"/>
                <w:color w:val="FF0000"/>
                <w:sz w:val="21"/>
                <w:szCs w:val="21"/>
              </w:rPr>
            </w:pPr>
            <w:r>
              <w:rPr>
                <w:rFonts w:hint="eastAsia" w:ascii="仿宋" w:hAnsi="仿宋" w:eastAsia="仿宋" w:cs="仿宋"/>
                <w:b w:val="0"/>
                <w:bCs w:val="0"/>
                <w:sz w:val="21"/>
                <w:szCs w:val="21"/>
                <w:vertAlign w:val="baseline"/>
                <w:lang w:eastAsia="zh-CN"/>
              </w:rPr>
              <w:t>我是中班生</w:t>
            </w:r>
          </w:p>
        </w:tc>
        <w:tc>
          <w:tcPr>
            <w:tcW w:w="2490"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eastAsia="zh-CN"/>
              </w:rPr>
              <w:t>常州美食</w:t>
            </w:r>
          </w:p>
        </w:tc>
        <w:tc>
          <w:tcPr>
            <w:tcW w:w="2055" w:type="dxa"/>
            <w:gridSpan w:val="2"/>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eastAsia="zh-CN"/>
              </w:rPr>
              <w:t>绘本馆改造</w:t>
            </w:r>
          </w:p>
        </w:tc>
        <w:tc>
          <w:tcPr>
            <w:tcW w:w="2049"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Cs w:val="21"/>
              </w:rPr>
              <w:t>走进小区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b w:val="0"/>
                <w:bCs w:val="0"/>
                <w:color w:val="FF0000"/>
                <w:sz w:val="21"/>
                <w:szCs w:val="21"/>
              </w:rPr>
            </w:pPr>
            <w:r>
              <w:rPr>
                <w:rFonts w:hint="eastAsia" w:ascii="仿宋" w:hAnsi="仿宋" w:eastAsia="仿宋" w:cs="仿宋"/>
                <w:b w:val="0"/>
                <w:bCs w:val="0"/>
                <w:sz w:val="21"/>
                <w:szCs w:val="21"/>
                <w:vertAlign w:val="baseline"/>
                <w:lang w:eastAsia="zh-CN"/>
              </w:rPr>
              <w:t>玩具总动员</w:t>
            </w:r>
          </w:p>
        </w:tc>
        <w:tc>
          <w:tcPr>
            <w:tcW w:w="2490"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eastAsia="zh-CN"/>
              </w:rPr>
              <w:t>常州标志建筑大探查</w:t>
            </w:r>
          </w:p>
        </w:tc>
        <w:tc>
          <w:tcPr>
            <w:tcW w:w="2055" w:type="dxa"/>
            <w:gridSpan w:val="2"/>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eastAsia="zh-CN"/>
              </w:rPr>
              <w:t>常州特产芝麻糖</w:t>
            </w:r>
          </w:p>
        </w:tc>
        <w:tc>
          <w:tcPr>
            <w:tcW w:w="2049"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Cs w:val="21"/>
              </w:rPr>
              <w:t>月饼盒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b w:val="0"/>
                <w:bCs w:val="0"/>
                <w:color w:val="FF0000"/>
                <w:sz w:val="21"/>
                <w:szCs w:val="21"/>
              </w:rPr>
            </w:pPr>
            <w:r>
              <w:rPr>
                <w:rFonts w:hint="eastAsia" w:ascii="仿宋" w:hAnsi="仿宋" w:eastAsia="仿宋" w:cs="仿宋"/>
                <w:b w:val="0"/>
                <w:bCs w:val="0"/>
                <w:sz w:val="21"/>
                <w:szCs w:val="21"/>
                <w:vertAlign w:val="baseline"/>
                <w:lang w:eastAsia="zh-CN"/>
              </w:rPr>
              <w:t>我的小区，我们的常州</w:t>
            </w:r>
          </w:p>
        </w:tc>
        <w:tc>
          <w:tcPr>
            <w:tcW w:w="2490"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val="en-US" w:eastAsia="zh-CN"/>
              </w:rPr>
              <w:t>中秋节之月饼盒</w:t>
            </w:r>
          </w:p>
        </w:tc>
        <w:tc>
          <w:tcPr>
            <w:tcW w:w="2055" w:type="dxa"/>
            <w:gridSpan w:val="2"/>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eastAsia="zh-CN"/>
              </w:rPr>
              <w:t>丰收的秋天——玉米</w:t>
            </w:r>
          </w:p>
        </w:tc>
        <w:tc>
          <w:tcPr>
            <w:tcW w:w="2049" w:type="dxa"/>
            <w:vAlign w:val="top"/>
          </w:tcPr>
          <w:p>
            <w:pPr>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szCs w:val="21"/>
              </w:rPr>
              <w:t>一个孩子和葫芦娃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color w:val="FF0000"/>
                <w:sz w:val="21"/>
                <w:szCs w:val="21"/>
              </w:rPr>
            </w:pPr>
            <w:r>
              <w:rPr>
                <w:rFonts w:hint="eastAsia" w:ascii="仿宋" w:hAnsi="仿宋" w:eastAsia="仿宋" w:cs="仿宋"/>
                <w:sz w:val="21"/>
                <w:szCs w:val="21"/>
                <w:vertAlign w:val="baseline"/>
                <w:lang w:eastAsia="zh-CN"/>
              </w:rPr>
              <w:t>美丽的秋天</w:t>
            </w:r>
          </w:p>
        </w:tc>
        <w:tc>
          <w:tcPr>
            <w:tcW w:w="2490"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 w:val="21"/>
                <w:szCs w:val="21"/>
              </w:rPr>
              <w:t>制作红薯饼</w:t>
            </w:r>
          </w:p>
        </w:tc>
        <w:tc>
          <w:tcPr>
            <w:tcW w:w="2055" w:type="dxa"/>
            <w:gridSpan w:val="2"/>
            <w:vAlign w:val="top"/>
          </w:tcPr>
          <w:p>
            <w:pPr>
              <w:rPr>
                <w:rFonts w:hint="eastAsia" w:ascii="仿宋" w:hAnsi="仿宋" w:eastAsia="仿宋" w:cs="仿宋"/>
                <w:color w:val="FF0000"/>
                <w:sz w:val="21"/>
                <w:szCs w:val="21"/>
                <w:lang w:val="en-US" w:eastAsia="zh-CN"/>
              </w:rPr>
            </w:pPr>
            <w:r>
              <w:rPr>
                <w:rFonts w:hint="eastAsia" w:ascii="仿宋" w:hAnsi="仿宋" w:eastAsia="仿宋" w:cs="仿宋"/>
                <w:sz w:val="21"/>
                <w:szCs w:val="21"/>
                <w:lang w:val="en-US" w:eastAsia="zh-CN"/>
              </w:rPr>
              <w:t>我的来园时间</w:t>
            </w:r>
          </w:p>
        </w:tc>
        <w:tc>
          <w:tcPr>
            <w:tcW w:w="2049"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Cs w:val="21"/>
              </w:rPr>
              <w:t>和雪花片的故事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rPr>
                <w:rFonts w:hint="eastAsia" w:ascii="仿宋" w:hAnsi="仿宋" w:eastAsia="仿宋" w:cs="仿宋"/>
                <w:color w:val="FF0000"/>
                <w:sz w:val="21"/>
                <w:szCs w:val="21"/>
              </w:rPr>
            </w:pPr>
            <w:r>
              <w:rPr>
                <w:rFonts w:hint="eastAsia" w:ascii="仿宋" w:hAnsi="仿宋" w:eastAsia="仿宋" w:cs="仿宋"/>
                <w:sz w:val="21"/>
                <w:szCs w:val="21"/>
                <w:vertAlign w:val="baseline"/>
                <w:lang w:eastAsia="zh-CN"/>
              </w:rPr>
              <w:t>我是银幼好娃娃</w:t>
            </w:r>
          </w:p>
        </w:tc>
        <w:tc>
          <w:tcPr>
            <w:tcW w:w="2490"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 w:val="21"/>
                <w:szCs w:val="21"/>
              </w:rPr>
              <w:t>我会塞衣服</w:t>
            </w:r>
          </w:p>
        </w:tc>
        <w:tc>
          <w:tcPr>
            <w:tcW w:w="2055" w:type="dxa"/>
            <w:gridSpan w:val="2"/>
            <w:vAlign w:val="top"/>
          </w:tcPr>
          <w:p>
            <w:pPr>
              <w:rPr>
                <w:rFonts w:hint="eastAsia" w:ascii="仿宋" w:hAnsi="仿宋" w:eastAsia="仿宋" w:cs="仿宋"/>
                <w:color w:val="FF0000"/>
                <w:sz w:val="21"/>
                <w:szCs w:val="21"/>
                <w:lang w:val="en-US" w:eastAsia="zh-CN"/>
              </w:rPr>
            </w:pPr>
            <w:r>
              <w:rPr>
                <w:rFonts w:hint="eastAsia" w:ascii="仿宋" w:hAnsi="仿宋" w:eastAsia="仿宋" w:cs="仿宋"/>
                <w:sz w:val="21"/>
                <w:szCs w:val="21"/>
                <w:lang w:val="en-US" w:eastAsia="zh-CN"/>
              </w:rPr>
              <w:t>我们和雪花片的故事</w:t>
            </w:r>
          </w:p>
        </w:tc>
        <w:tc>
          <w:tcPr>
            <w:tcW w:w="2049"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Cs w:val="21"/>
              </w:rPr>
              <w:t>恐龙园，我们来啦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restart"/>
            <w:vAlign w:val="top"/>
          </w:tcPr>
          <w:p>
            <w:pPr>
              <w:rPr>
                <w:rFonts w:hint="eastAsia" w:ascii="仿宋" w:hAnsi="仿宋" w:eastAsia="仿宋" w:cs="仿宋"/>
                <w:color w:val="FF0000"/>
                <w:sz w:val="21"/>
                <w:szCs w:val="21"/>
              </w:rPr>
            </w:pPr>
            <w:r>
              <w:rPr>
                <w:rFonts w:hint="eastAsia" w:ascii="仿宋" w:hAnsi="仿宋" w:eastAsia="仿宋" w:cs="仿宋"/>
                <w:sz w:val="21"/>
                <w:szCs w:val="21"/>
                <w:vertAlign w:val="baseline"/>
                <w:lang w:val="en-US" w:eastAsia="zh-CN"/>
              </w:rPr>
              <w:t>我们的节</w:t>
            </w:r>
          </w:p>
        </w:tc>
        <w:tc>
          <w:tcPr>
            <w:tcW w:w="2490"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 w:val="21"/>
                <w:szCs w:val="21"/>
                <w:lang w:eastAsia="zh-CN"/>
              </w:rPr>
              <w:t>我们的拍球故事</w:t>
            </w:r>
          </w:p>
        </w:tc>
        <w:tc>
          <w:tcPr>
            <w:tcW w:w="2055" w:type="dxa"/>
            <w:gridSpan w:val="2"/>
            <w:vAlign w:val="top"/>
          </w:tcPr>
          <w:p>
            <w:pPr>
              <w:rPr>
                <w:rFonts w:hint="eastAsia" w:ascii="仿宋" w:hAnsi="仿宋" w:eastAsia="仿宋" w:cs="仿宋"/>
                <w:color w:val="FF0000"/>
                <w:sz w:val="21"/>
                <w:szCs w:val="21"/>
                <w:lang w:val="en-US" w:eastAsia="zh-CN"/>
              </w:rPr>
            </w:pPr>
            <w:r>
              <w:rPr>
                <w:rFonts w:hint="eastAsia" w:ascii="仿宋" w:hAnsi="仿宋" w:eastAsia="仿宋" w:cs="仿宋"/>
                <w:szCs w:val="21"/>
              </w:rPr>
              <w:t>我有多高</w:t>
            </w:r>
          </w:p>
        </w:tc>
        <w:tc>
          <w:tcPr>
            <w:tcW w:w="2049" w:type="dxa"/>
            <w:vAlign w:val="top"/>
          </w:tcPr>
          <w:p>
            <w:pPr>
              <w:rPr>
                <w:rFonts w:hint="eastAsia" w:ascii="仿宋" w:hAnsi="仿宋" w:eastAsia="仿宋" w:cs="仿宋"/>
                <w:color w:val="FF0000"/>
                <w:sz w:val="21"/>
                <w:szCs w:val="21"/>
                <w:lang w:val="en-US" w:eastAsia="zh-CN"/>
              </w:rPr>
            </w:pPr>
            <w:r>
              <w:rPr>
                <w:rFonts w:hint="eastAsia" w:ascii="仿宋" w:hAnsi="仿宋" w:eastAsia="仿宋" w:cs="仿宋"/>
                <w:szCs w:val="21"/>
              </w:rPr>
              <w:t>秋天的农作物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continue"/>
            <w:vAlign w:val="top"/>
          </w:tcPr>
          <w:p>
            <w:pPr>
              <w:rPr>
                <w:rFonts w:hint="eastAsia" w:ascii="仿宋" w:hAnsi="仿宋" w:eastAsia="仿宋" w:cs="仿宋"/>
                <w:sz w:val="21"/>
                <w:szCs w:val="21"/>
                <w:vertAlign w:val="baseline"/>
                <w:lang w:val="en-US" w:eastAsia="zh-CN"/>
              </w:rPr>
            </w:pPr>
          </w:p>
        </w:tc>
        <w:tc>
          <w:tcPr>
            <w:tcW w:w="2490" w:type="dxa"/>
            <w:vAlign w:val="top"/>
          </w:tcPr>
          <w:p>
            <w:pPr>
              <w:rPr>
                <w:rFonts w:hint="eastAsia" w:ascii="仿宋" w:hAnsi="仿宋" w:eastAsia="仿宋" w:cs="仿宋"/>
                <w:sz w:val="21"/>
                <w:szCs w:val="21"/>
                <w:lang w:eastAsia="zh-CN"/>
              </w:rPr>
            </w:pPr>
            <w:r>
              <w:rPr>
                <w:rFonts w:hint="eastAsia" w:ascii="仿宋" w:hAnsi="仿宋" w:eastAsia="仿宋" w:cs="仿宋"/>
                <w:szCs w:val="21"/>
              </w:rPr>
              <w:t>我能早早来园</w:t>
            </w:r>
          </w:p>
        </w:tc>
        <w:tc>
          <w:tcPr>
            <w:tcW w:w="2055" w:type="dxa"/>
            <w:gridSpan w:val="2"/>
            <w:vAlign w:val="top"/>
          </w:tcPr>
          <w:p>
            <w:pPr>
              <w:rPr>
                <w:rFonts w:hint="eastAsia" w:ascii="仿宋" w:hAnsi="仿宋" w:eastAsia="仿宋" w:cs="仿宋"/>
                <w:szCs w:val="21"/>
              </w:rPr>
            </w:pPr>
            <w:r>
              <w:rPr>
                <w:rFonts w:hint="eastAsia" w:ascii="仿宋" w:hAnsi="仿宋" w:eastAsia="仿宋" w:cs="仿宋"/>
                <w:szCs w:val="21"/>
              </w:rPr>
              <w:t>我会自主塞衣服</w:t>
            </w:r>
          </w:p>
        </w:tc>
        <w:tc>
          <w:tcPr>
            <w:tcW w:w="204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continue"/>
            <w:vAlign w:val="top"/>
          </w:tcPr>
          <w:p>
            <w:pPr>
              <w:rPr>
                <w:rFonts w:hint="eastAsia" w:ascii="仿宋" w:hAnsi="仿宋" w:eastAsia="仿宋" w:cs="仿宋"/>
                <w:sz w:val="21"/>
                <w:szCs w:val="21"/>
                <w:vertAlign w:val="baseline"/>
                <w:lang w:val="en-US" w:eastAsia="zh-CN"/>
              </w:rPr>
            </w:pPr>
          </w:p>
        </w:tc>
        <w:tc>
          <w:tcPr>
            <w:tcW w:w="2490" w:type="dxa"/>
            <w:vAlign w:val="top"/>
          </w:tcPr>
          <w:p>
            <w:pPr>
              <w:rPr>
                <w:rFonts w:hint="eastAsia" w:ascii="仿宋" w:hAnsi="仿宋" w:eastAsia="仿宋" w:cs="仿宋"/>
                <w:sz w:val="21"/>
                <w:szCs w:val="21"/>
                <w:lang w:eastAsia="zh-CN"/>
              </w:rPr>
            </w:pPr>
            <w:r>
              <w:rPr>
                <w:rFonts w:hint="eastAsia" w:ascii="仿宋" w:hAnsi="仿宋" w:eastAsia="仿宋" w:cs="仿宋"/>
                <w:szCs w:val="21"/>
              </w:rPr>
              <w:t>露易丝老师来了</w:t>
            </w:r>
          </w:p>
        </w:tc>
        <w:tc>
          <w:tcPr>
            <w:tcW w:w="2055" w:type="dxa"/>
            <w:gridSpan w:val="2"/>
            <w:vAlign w:val="top"/>
          </w:tcPr>
          <w:p>
            <w:pPr>
              <w:rPr>
                <w:rFonts w:hint="eastAsia" w:ascii="仿宋" w:hAnsi="仿宋" w:eastAsia="仿宋" w:cs="仿宋"/>
                <w:szCs w:val="21"/>
              </w:rPr>
            </w:pPr>
            <w:r>
              <w:rPr>
                <w:rFonts w:hint="eastAsia" w:ascii="仿宋" w:hAnsi="仿宋" w:eastAsia="仿宋" w:cs="仿宋"/>
                <w:sz w:val="21"/>
                <w:szCs w:val="21"/>
                <w:lang w:eastAsia="zh-CN"/>
              </w:rPr>
              <w:t>萝卜？萝卜！</w:t>
            </w:r>
          </w:p>
        </w:tc>
        <w:tc>
          <w:tcPr>
            <w:tcW w:w="204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color w:val="FF0000"/>
                <w:sz w:val="21"/>
                <w:szCs w:val="21"/>
              </w:rPr>
              <w:t>5</w:t>
            </w:r>
          </w:p>
        </w:tc>
        <w:tc>
          <w:tcPr>
            <w:tcW w:w="6594" w:type="dxa"/>
            <w:gridSpan w:val="4"/>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b/>
                <w:bCs/>
                <w:color w:val="FF0000"/>
                <w:sz w:val="21"/>
                <w:szCs w:val="21"/>
                <w:lang w:val="en-US" w:eastAsia="zh-CN"/>
              </w:rPr>
              <w:t>大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color w:val="FF0000"/>
                <w:sz w:val="21"/>
                <w:szCs w:val="21"/>
              </w:rPr>
            </w:pPr>
            <w:r>
              <w:rPr>
                <w:rFonts w:hint="eastAsia" w:ascii="仿宋" w:hAnsi="仿宋" w:eastAsia="仿宋" w:cs="仿宋"/>
                <w:sz w:val="21"/>
                <w:szCs w:val="21"/>
              </w:rPr>
              <w:t>我是大班的哥哥姐姐啦</w:t>
            </w:r>
          </w:p>
        </w:tc>
        <w:tc>
          <w:tcPr>
            <w:tcW w:w="2490"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青花瓷</w:t>
            </w:r>
          </w:p>
        </w:tc>
        <w:tc>
          <w:tcPr>
            <w:tcW w:w="2055" w:type="dxa"/>
            <w:gridSpan w:val="2"/>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中央艺术公园</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玩转月饼盒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color w:val="FF0000"/>
                <w:sz w:val="21"/>
                <w:szCs w:val="21"/>
              </w:rPr>
            </w:pPr>
            <w:r>
              <w:rPr>
                <w:rFonts w:hint="eastAsia" w:ascii="仿宋" w:hAnsi="仿宋" w:eastAsia="仿宋" w:cs="仿宋"/>
                <w:sz w:val="21"/>
                <w:szCs w:val="21"/>
              </w:rPr>
              <w:t>我是中国娃</w:t>
            </w: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我们的水杯汗巾那些事</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港珠澳大桥</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美味的南瓜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color w:val="FF0000"/>
                <w:sz w:val="21"/>
                <w:szCs w:val="21"/>
              </w:rPr>
            </w:pPr>
            <w:r>
              <w:rPr>
                <w:rFonts w:hint="eastAsia" w:ascii="仿宋" w:hAnsi="仿宋" w:eastAsia="仿宋" w:cs="仿宋"/>
                <w:sz w:val="21"/>
                <w:szCs w:val="21"/>
              </w:rPr>
              <w:t>多彩的秋天</w:t>
            </w: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树叶的秘密</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书签</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表演区的取经路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color w:val="FF0000"/>
                <w:sz w:val="21"/>
                <w:szCs w:val="21"/>
              </w:rPr>
            </w:pPr>
            <w:r>
              <w:rPr>
                <w:rFonts w:hint="eastAsia" w:ascii="仿宋" w:hAnsi="仿宋" w:eastAsia="仿宋" w:cs="仿宋"/>
                <w:sz w:val="21"/>
                <w:szCs w:val="21"/>
              </w:rPr>
              <w:t>神奇的动物</w:t>
            </w: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我（还）喜欢的小动物</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我们的月饼节</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我是小小升旗手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表演游戏：怎样才能不把我的好朋友吃掉</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蜗牛来啦</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有趣的汉字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蚂蚁和西瓜</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我们的中国功夫</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玩转纸杯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亲爱的日记本</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我是小小升旗手</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大带小活动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中国特产美食</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我最喜欢的动物</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我是小小升旗手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top"/>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我的区域我做主</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值日生的革命</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幼儿园的植物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我的日记密语</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大手牵小手</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大狗汪汪帮人队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红薯</w:t>
            </w:r>
          </w:p>
        </w:tc>
        <w:tc>
          <w:tcPr>
            <w:tcW w:w="2055" w:type="dxa"/>
            <w:gridSpan w:val="2"/>
            <w:vAlign w:val="top"/>
          </w:tcPr>
          <w:p>
            <w:pPr>
              <w:jc w:val="center"/>
              <w:rPr>
                <w:rFonts w:hint="eastAsia" w:ascii="仿宋" w:hAnsi="仿宋" w:eastAsia="仿宋" w:cs="仿宋"/>
                <w:sz w:val="21"/>
                <w:szCs w:val="21"/>
              </w:rPr>
            </w:pPr>
            <w:r>
              <w:rPr>
                <w:rFonts w:hint="eastAsia" w:ascii="仿宋" w:hAnsi="仿宋" w:eastAsia="仿宋" w:cs="仿宋"/>
                <w:sz w:val="21"/>
                <w:szCs w:val="21"/>
              </w:rPr>
              <w:t>蚂蚁的故事</w:t>
            </w: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表演区的“革命”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溜索的故事</w:t>
            </w:r>
          </w:p>
        </w:tc>
        <w:tc>
          <w:tcPr>
            <w:tcW w:w="2055" w:type="dxa"/>
            <w:gridSpan w:val="2"/>
          </w:tcPr>
          <w:p>
            <w:pPr>
              <w:jc w:val="center"/>
              <w:rPr>
                <w:rFonts w:hint="eastAsia" w:ascii="仿宋" w:hAnsi="仿宋" w:eastAsia="仿宋" w:cs="仿宋"/>
                <w:sz w:val="21"/>
                <w:szCs w:val="21"/>
              </w:rPr>
            </w:pP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木头真有趣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hint="eastAsia" w:ascii="仿宋" w:hAnsi="仿宋" w:eastAsia="仿宋" w:cs="仿宋"/>
                <w:sz w:val="21"/>
                <w:szCs w:val="21"/>
              </w:rPr>
            </w:pPr>
          </w:p>
        </w:tc>
        <w:tc>
          <w:tcPr>
            <w:tcW w:w="2490"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我的区域我做主</w:t>
            </w:r>
          </w:p>
        </w:tc>
        <w:tc>
          <w:tcPr>
            <w:tcW w:w="2055" w:type="dxa"/>
            <w:gridSpan w:val="2"/>
          </w:tcPr>
          <w:p>
            <w:pPr>
              <w:jc w:val="center"/>
              <w:rPr>
                <w:rFonts w:hint="eastAsia" w:ascii="仿宋" w:hAnsi="仿宋" w:eastAsia="仿宋" w:cs="仿宋"/>
                <w:sz w:val="21"/>
                <w:szCs w:val="21"/>
              </w:rPr>
            </w:pPr>
          </w:p>
        </w:tc>
        <w:tc>
          <w:tcPr>
            <w:tcW w:w="2049" w:type="dxa"/>
            <w:vAlign w:val="top"/>
          </w:tcPr>
          <w:p>
            <w:pPr>
              <w:jc w:val="center"/>
              <w:rPr>
                <w:rFonts w:hint="eastAsia" w:ascii="仿宋" w:hAnsi="仿宋" w:eastAsia="仿宋" w:cs="仿宋"/>
                <w:color w:val="FF0000"/>
                <w:sz w:val="21"/>
                <w:szCs w:val="21"/>
                <w:lang w:val="en-US" w:eastAsia="zh-CN"/>
              </w:rPr>
            </w:pPr>
            <w:r>
              <w:rPr>
                <w:rFonts w:hint="eastAsia" w:ascii="仿宋" w:hAnsi="仿宋" w:eastAsia="仿宋" w:cs="仿宋"/>
                <w:sz w:val="21"/>
                <w:szCs w:val="21"/>
              </w:rPr>
              <w:t>我是小老师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hint="eastAsia"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4</w:t>
            </w:r>
          </w:p>
        </w:tc>
        <w:tc>
          <w:tcPr>
            <w:tcW w:w="6594" w:type="dxa"/>
            <w:gridSpan w:val="4"/>
            <w:vAlign w:val="top"/>
          </w:tcPr>
          <w:p>
            <w:pPr>
              <w:jc w:val="center"/>
              <w:rPr>
                <w:rFonts w:hint="eastAsia"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37</w:t>
            </w:r>
          </w:p>
        </w:tc>
      </w:tr>
    </w:tbl>
    <w:p>
      <w:pPr>
        <w:spacing w:line="360" w:lineRule="auto"/>
        <w:ind w:firstLine="422" w:firstLineChars="200"/>
        <w:jc w:val="left"/>
        <w:rPr>
          <w:rFonts w:hint="eastAsia" w:ascii="宋体" w:hAnsi="宋体" w:eastAsiaTheme="minorEastAsia"/>
          <w:b/>
          <w:bCs/>
          <w:szCs w:val="21"/>
          <w:lang w:eastAsia="zh-CN"/>
        </w:rPr>
      </w:pPr>
      <w:r>
        <w:rPr>
          <w:rFonts w:hint="eastAsia" w:ascii="宋体" w:hAnsi="宋体"/>
          <w:b/>
          <w:bCs/>
          <w:szCs w:val="21"/>
        </w:rPr>
        <w:t>三、</w:t>
      </w:r>
      <w:r>
        <w:rPr>
          <w:rFonts w:hint="eastAsia" w:ascii="宋体" w:hAnsi="宋体"/>
          <w:b/>
          <w:bCs/>
          <w:szCs w:val="21"/>
          <w:lang w:eastAsia="zh-CN"/>
        </w:rPr>
        <w:t>建课程评估体系助质量保障</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幼儿发展的质量是课程品质的集中体现，我们始终</w:t>
      </w:r>
      <w:r>
        <w:rPr>
          <w:rFonts w:hint="eastAsia" w:ascii="宋体" w:hAnsi="宋体"/>
          <w:bCs/>
          <w:szCs w:val="21"/>
        </w:rPr>
        <w:t>观察研究儿童作为我们教师专业发展的第一要务</w:t>
      </w:r>
      <w:r>
        <w:rPr>
          <w:rFonts w:hint="eastAsia" w:ascii="宋体" w:hAnsi="宋体"/>
          <w:bCs/>
          <w:szCs w:val="21"/>
          <w:lang w:eastAsia="zh-CN"/>
        </w:rPr>
        <w:t>，借助贯穿在区域空间布局、班级环境创设、教师保教行为督查的</w:t>
      </w:r>
      <w:r>
        <w:rPr>
          <w:rFonts w:hint="eastAsia" w:ascii="宋体" w:hAnsi="宋体"/>
          <w:bCs/>
          <w:szCs w:val="21"/>
        </w:rPr>
        <w:t>场调研、专题教研以及实践研究的过程中，</w:t>
      </w:r>
      <w:r>
        <w:rPr>
          <w:rFonts w:hint="eastAsia" w:ascii="宋体" w:hAnsi="宋体"/>
          <w:bCs/>
          <w:szCs w:val="21"/>
          <w:lang w:eastAsia="zh-CN"/>
        </w:rPr>
        <w:t>鼓励教师在日常</w:t>
      </w:r>
      <w:r>
        <w:rPr>
          <w:rFonts w:hint="eastAsia" w:ascii="宋体" w:hAnsi="宋体"/>
          <w:bCs/>
          <w:szCs w:val="21"/>
        </w:rPr>
        <w:t>工作的每一天关注幼儿的游戏计划、游戏状态、游戏能力以及呈现出的整体状况，积累观察解读幼儿游戏活动的小案例、小故事从而推动</w:t>
      </w:r>
      <w:r>
        <w:rPr>
          <w:rFonts w:hint="eastAsia" w:ascii="宋体" w:hAnsi="宋体"/>
          <w:bCs/>
          <w:szCs w:val="21"/>
          <w:lang w:eastAsia="zh-CN"/>
        </w:rPr>
        <w:t>班级幼儿学习与发展档案的建设。而借助家长学校、一对一微型家长会的深入实践，课程共同体参与档案建设的常态化与实效化，让我们更加聚焦幼儿所生活的环境是否适宜、空间是否宽裕、时间是否充足、材料是否有效、活动是否有意义。而立足即时性的教研实证，我们对于幼儿行为观察、游戏后分享交流、幼儿学习与发展档案以及一对一微型家长会都积累了底线标准，为课程实施评估做好指标保障。此外再深化指南、纲要精神，对接省幼儿园质量评估项目研究的历程中，我们也发现后续跟进在评估指标的架构实施与细化明确上我们还有很长的路要走。</w:t>
      </w:r>
    </w:p>
    <w:p>
      <w:pPr>
        <w:spacing w:line="360" w:lineRule="auto"/>
        <w:ind w:firstLine="422" w:firstLineChars="200"/>
        <w:rPr>
          <w:rFonts w:hint="eastAsia" w:ascii="宋体" w:hAnsi="宋体"/>
          <w:b/>
          <w:bCs w:val="0"/>
          <w:szCs w:val="21"/>
          <w:lang w:val="en-US" w:eastAsia="zh-CN"/>
        </w:rPr>
      </w:pPr>
      <w:r>
        <w:rPr>
          <w:rFonts w:hint="eastAsia" w:ascii="宋体" w:hAnsi="宋体"/>
          <w:b/>
          <w:bCs w:val="0"/>
          <w:szCs w:val="21"/>
          <w:lang w:eastAsia="zh-CN"/>
        </w:rPr>
        <w:t>四、融课程实践优化推队伍建设</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首先借助《国务院关于学前教育深化改革的若干意见》以及治理“小学化”倾向的工作，我们始终强调教师队伍的师德师风，严守幼儿园教师的职业道德操守，并已全部完成关于校外自我承诺书的签订，进一步提升了银幼教师队伍的职业素。</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其次此外无论是课程审议、版本化实施还是基于幼儿学习与发展档案的课程评估，这些日常保教场即实践场、研究场、发展场，借助园所十大研究工作室（教研组）的优化架构，本学期在</w:t>
      </w:r>
      <w:r>
        <w:rPr>
          <w:rFonts w:hint="eastAsia" w:ascii="宋体" w:hAnsi="宋体"/>
          <w:bCs/>
          <w:szCs w:val="21"/>
          <w:lang w:val="en-US" w:eastAsia="zh-CN"/>
        </w:rPr>
        <w:t>1-2年新教师的学期展示考核、3-8年胜任型教师工作室论文撰写研究、10以上成熟骨干教师的质量评估自我研究的历程中，我们围绕</w:t>
      </w:r>
      <w:r>
        <w:rPr>
          <w:rFonts w:hint="eastAsia" w:ascii="宋体" w:hAnsi="宋体"/>
          <w:bCs/>
          <w:szCs w:val="21"/>
        </w:rPr>
        <w:t>观察记录·解读童心案例</w:t>
      </w:r>
      <w:r>
        <w:rPr>
          <w:rFonts w:hint="eastAsia" w:ascii="宋体" w:hAnsi="宋体"/>
          <w:bCs/>
          <w:szCs w:val="21"/>
          <w:lang w:eastAsia="zh-CN"/>
        </w:rPr>
        <w:t>与档案的融合，不断强化教师儿童观、教育观与课程观的转型，聚焦独立带班、观察记录、支持引导、设计组织、</w:t>
      </w:r>
      <w:r>
        <w:rPr>
          <w:rFonts w:hint="eastAsia" w:ascii="宋体" w:hAnsi="宋体"/>
          <w:bCs/>
          <w:szCs w:val="21"/>
        </w:rPr>
        <w:t>发展评价、反思实践以及诸如“谈话”等多种教育教学经验</w:t>
      </w:r>
      <w:r>
        <w:rPr>
          <w:rFonts w:hint="eastAsia" w:ascii="宋体" w:hAnsi="宋体"/>
          <w:bCs/>
          <w:szCs w:val="21"/>
          <w:lang w:eastAsia="zh-CN"/>
        </w:rPr>
        <w:t>积累。</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此外十一月全园的课程资源开发故事分享月、每月的日常工作室研究与的研究浪潮中，班班做调研、人人做分析，立足班本化、小组化的兴趣需求，有个性地开展小微课程，进一步提升了教师队伍的课程设计与组织能力。而在工作室研究的助推中我们应对课程实施中的难点问题，全面摸底教师队伍的教科研素养，强化队伍建设的研究品质与专研精神。并初步完成下一轮职称晋升的条线与人员摸底。</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bCs/>
          <w:szCs w:val="21"/>
          <w:lang w:eastAsia="zh-CN"/>
        </w:rPr>
        <w:t>最后，在师德为先，幼儿为本、能力为重、终身学习的不懈追求中，本学期我园的队伍建设成果颇丰，</w:t>
      </w:r>
      <w:r>
        <w:rPr>
          <w:rFonts w:hint="eastAsia" w:ascii="宋体" w:hAnsi="宋体" w:eastAsia="宋体" w:cs="宋体"/>
          <w:b w:val="0"/>
          <w:bCs w:val="0"/>
          <w:sz w:val="21"/>
          <w:szCs w:val="21"/>
          <w:lang w:val="en-US" w:eastAsia="zh-CN"/>
        </w:rPr>
        <w:t>高丽泽老师获幼儿园一级教师职称。五级梯队晋升市学带汪田田、吴洁2人；市骨干钱力、高玉晶、魏剑三人，此外王辉老师获评常州市教育管理拔尖人才、魏老师剑参与新北区支陕一年。</w:t>
      </w:r>
    </w:p>
    <w:p>
      <w:pPr>
        <w:spacing w:line="360" w:lineRule="auto"/>
        <w:ind w:firstLine="422" w:firstLineChars="200"/>
        <w:rPr>
          <w:rFonts w:hint="eastAsia" w:ascii="宋体" w:hAnsi="宋体"/>
          <w:b/>
          <w:bCs w:val="0"/>
          <w:szCs w:val="21"/>
          <w:lang w:eastAsia="zh-CN"/>
        </w:rPr>
      </w:pPr>
      <w:r>
        <w:rPr>
          <w:rFonts w:hint="eastAsia" w:ascii="宋体" w:hAnsi="宋体"/>
          <w:b/>
          <w:bCs w:val="0"/>
          <w:szCs w:val="21"/>
          <w:lang w:eastAsia="zh-CN"/>
        </w:rPr>
        <w:t>五、思课程发展深化明问题方向</w:t>
      </w:r>
    </w:p>
    <w:p>
      <w:pPr>
        <w:spacing w:line="360" w:lineRule="auto"/>
        <w:ind w:firstLine="420" w:firstLineChars="200"/>
      </w:pPr>
      <w:r>
        <w:rPr>
          <w:rFonts w:hint="eastAsia" w:ascii="宋体" w:hAnsi="宋体" w:cs="宋体"/>
          <w:szCs w:val="21"/>
          <w:lang w:val="en-US" w:eastAsia="zh-CN"/>
        </w:rPr>
        <w:t>1.幼儿发展：</w:t>
      </w:r>
      <w:r>
        <w:rPr>
          <w:rFonts w:hint="eastAsia" w:ascii="宋体" w:hAnsi="宋体" w:eastAsia="宋体" w:cs="宋体"/>
          <w:sz w:val="21"/>
          <w:szCs w:val="21"/>
          <w:lang w:eastAsia="zh-CN"/>
        </w:rPr>
        <w:t>部分特殊幼儿的培养指导，在融合教育的过程中如何更具有效性，需要园所、教师、家园乃至社区同步跟进。个体幼儿的界限与规则的认知，需要教育合力助推。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52" w:firstLineChars="200"/>
        <w:textAlignment w:val="auto"/>
        <w:outlineLvl w:val="9"/>
        <w:rPr>
          <w:rFonts w:hint="eastAsia" w:ascii="宋体" w:hAnsi="宋体" w:cs="宋体"/>
          <w:szCs w:val="21"/>
          <w:lang w:val="en-US" w:eastAsia="zh-CN"/>
        </w:rPr>
      </w:pPr>
      <w:r>
        <w:rPr>
          <w:rFonts w:hint="eastAsia" w:ascii="宋体" w:hAnsi="宋体" w:eastAsia="宋体" w:cs="宋体"/>
          <w:i w:val="0"/>
          <w:caps w:val="0"/>
          <w:color w:val="auto"/>
          <w:spacing w:val="8"/>
          <w:kern w:val="0"/>
          <w:sz w:val="21"/>
          <w:szCs w:val="21"/>
          <w:shd w:val="clear" w:fill="FFFFFF"/>
          <w:lang w:val="en-US" w:eastAsia="zh-CN" w:bidi="ar"/>
        </w:rPr>
        <w:t>2.课程评估：在教师运用纸笔记录、录影摄像的传统记录方式不断优化的基础，协同园所信息技术小组，尝试借助iPad记录应用与检核表录入等方式简化小组、集体记录中的信息收集与处理分析；尝试借助QQ群、百度云盘、微信公众号、美篇APP、网络论坛等多个平台拓展观察记录的信息在园所、课程小组、年级组、项目小组或家长个体间的分享渠道。以期实现观察记录的信息更加客观、丰富、有效；记录信息的分析更为全面、精准；记录信息的互动流通更为顺畅、立体化，进而更为有力地为支持性课程的建设提供素材、资源。</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3.队伍培养：</w:t>
      </w:r>
      <w:r>
        <w:rPr>
          <w:rFonts w:hint="eastAsia" w:ascii="宋体" w:hAnsi="宋体" w:cs="宋体"/>
          <w:szCs w:val="21"/>
          <w:lang w:eastAsia="zh-CN"/>
        </w:rPr>
        <w:t>新手教师发展差异明显，</w:t>
      </w:r>
      <w:r>
        <w:rPr>
          <w:rFonts w:hint="eastAsia" w:ascii="宋体" w:hAnsi="宋体" w:cs="宋体"/>
          <w:szCs w:val="21"/>
          <w:lang w:val="en-US" w:eastAsia="zh-CN"/>
        </w:rPr>
        <w:t>3-8年胜任型教师的梯队架构迫在眉睫，骨干教师占比率需再提升。</w:t>
      </w:r>
    </w:p>
    <w:p>
      <w:pPr>
        <w:pStyle w:val="9"/>
        <w:spacing w:line="332" w:lineRule="auto"/>
        <w:ind w:firstLine="422" w:firstLineChars="200"/>
        <w:jc w:val="left"/>
        <w:rPr>
          <w:rFonts w:hint="eastAsia" w:ascii="宋体" w:hAnsi="宋体" w:cs="宋体"/>
          <w:b/>
        </w:rPr>
      </w:pPr>
      <w:r>
        <w:rPr>
          <w:rFonts w:hint="eastAsia" w:ascii="宋体" w:hAnsi="宋体" w:cs="宋体"/>
          <w:b/>
          <w:lang w:eastAsia="zh-CN"/>
        </w:rPr>
        <w:t>六、</w:t>
      </w:r>
      <w:r>
        <w:rPr>
          <w:rFonts w:hint="eastAsia" w:ascii="宋体" w:hAnsi="宋体" w:cs="宋体"/>
          <w:b/>
        </w:rPr>
        <w:t>架构网络，规范、科学管理教科研研究。</w:t>
      </w:r>
    </w:p>
    <w:p>
      <w:pPr>
        <w:spacing w:line="332"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1、</w:t>
      </w:r>
      <w:r>
        <w:rPr>
          <w:rFonts w:hint="eastAsia" w:ascii="宋体" w:hAnsi="宋体" w:cs="宋体"/>
          <w:kern w:val="0"/>
          <w:szCs w:val="21"/>
        </w:rPr>
        <w:t>教科研研究重点与内容：基于幼儿行为观察下的支持性课程建设，重点突破教师的看见幼儿行为、看懂行为背后动机后的具体行为落实，入行为反馈性语言，即说什么、如何说；环境的支持，即怎样的环境、如何创设。研究内容主要包括：一是研究课程中的幼儿，包括游戏行为表现、自主意识与能力水平、及时的发展需要等；二是研究课程中的教师，主要体现在教师的支持性角色与专业行为。其三，借助江苏省基础教育前瞻性教学改革实验项目《基于幼儿行为观察的支持性课程建设》的研究,尝试构建来自于不同区域的学习共同体团队,围绕项目建设的计划,积极探索行之有效的策略,促课程游戏化建设水平的整体提高,并努力成为相关领域研究的标杆。重要载体为观察与解读童心、幼儿学习与发展档案、支持性课程。</w:t>
      </w:r>
    </w:p>
    <w:p>
      <w:pPr>
        <w:spacing w:line="332" w:lineRule="auto"/>
        <w:ind w:firstLine="210" w:firstLineChars="10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定位研究方式与组织：文献检索、现场调研、实证研究将成为本学期研究的重要方式，在文献检索中理清概念与内涵、了解他人的做法与经验，在现场调研中发现问题、基于问题探讨解决问题的方法、形成落实到教师行为层面的具体实操性经验；用看到的实实在在的行为、统计的具体数据进行对比、论证。</w:t>
      </w:r>
    </w:p>
    <w:p>
      <w:pPr>
        <w:spacing w:line="332" w:lineRule="auto"/>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3、</w:t>
      </w:r>
      <w:r>
        <w:rPr>
          <w:rFonts w:hint="eastAsia" w:ascii="宋体" w:hAnsi="宋体" w:cs="宋体"/>
          <w:kern w:val="0"/>
          <w:szCs w:val="21"/>
        </w:rPr>
        <w:t>研究组织行为网络架构，主要分为课程组（班子四人）、课程核心小组（课程组成员、年级正副组长、工作室长）、年级组、9个工作室（其中包含幼儿游戏研究室、自主管理研究室、表现创意研究室、教学游戏化研究室、支持性环境研究室、幼儿行为观察研究室、童心解读研究室、野趣户外研究室、男教师成长研究室，研究方向分别为材料支持、及时性反馈、个性化支持、幼儿经验拓展、时空支持、课程资源、幼儿行为观察、幼儿行为解读、分享交流、户外材料跟进研究）、课题组（5个省级、1个市级、3个区级、多个微型课题）。</w:t>
      </w:r>
    </w:p>
    <w:p>
      <w:pPr>
        <w:spacing w:line="332" w:lineRule="auto"/>
        <w:ind w:firstLine="42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 xml:space="preserve">研究主要任务：课程组——引方向、引路径、引方法；课程核心小组——研究具体方法与策略；工作室——具体研究任务与经验积累；课题组——专项研究；年级组——教研后的执行与落实。      </w:t>
      </w:r>
    </w:p>
    <w:p>
      <w:pPr>
        <w:pStyle w:val="9"/>
        <w:spacing w:line="332" w:lineRule="auto"/>
        <w:ind w:firstLine="422" w:firstLineChars="200"/>
        <w:jc w:val="left"/>
        <w:rPr>
          <w:rFonts w:hint="eastAsia" w:ascii="宋体" w:hAnsi="宋体" w:cs="宋体"/>
          <w:b/>
        </w:rPr>
      </w:pPr>
      <w:r>
        <w:rPr>
          <w:rFonts w:hint="eastAsia" w:ascii="宋体" w:hAnsi="宋体" w:cs="宋体"/>
          <w:b/>
          <w:lang w:eastAsia="zh-CN"/>
        </w:rPr>
        <w:t>七</w:t>
      </w:r>
      <w:r>
        <w:rPr>
          <w:rFonts w:hint="eastAsia" w:ascii="宋体" w:hAnsi="宋体" w:cs="宋体"/>
          <w:b/>
        </w:rPr>
        <w:t>.制定质量标准，落实教科研领导机制。</w:t>
      </w:r>
    </w:p>
    <w:p>
      <w:pPr>
        <w:pStyle w:val="9"/>
        <w:spacing w:line="332" w:lineRule="auto"/>
        <w:ind w:firstLine="420" w:firstLineChars="200"/>
        <w:jc w:val="left"/>
        <w:rPr>
          <w:rFonts w:hint="eastAsia" w:ascii="宋体" w:hAnsi="宋体" w:cs="宋体"/>
        </w:rPr>
      </w:pPr>
      <w:r>
        <w:rPr>
          <w:rFonts w:hint="eastAsia" w:ascii="宋体" w:hAnsi="宋体" w:cs="宋体"/>
        </w:rPr>
        <w:t>三级层面的课程管理生态的打造，明确各自在课程管理过程中的职责与分工，逐步建立起与支持性课程建设相匹配的园本教研系统与质量标准。</w:t>
      </w:r>
    </w:p>
    <w:p>
      <w:pPr>
        <w:pStyle w:val="9"/>
        <w:spacing w:line="332" w:lineRule="auto"/>
        <w:ind w:firstLine="420" w:firstLineChars="200"/>
        <w:jc w:val="left"/>
        <w:rPr>
          <w:rFonts w:hint="eastAsia" w:ascii="宋体" w:hAnsi="宋体" w:cs="宋体"/>
          <w:bCs/>
        </w:rPr>
      </w:pPr>
      <w:r>
        <w:rPr>
          <w:rFonts w:hint="eastAsia" w:ascii="宋体" w:hAnsi="宋体" w:cs="宋体"/>
          <w:lang w:val="en-US" w:eastAsia="zh-CN"/>
        </w:rPr>
        <w:t>1、</w:t>
      </w:r>
      <w:r>
        <w:rPr>
          <w:rFonts w:hint="eastAsia" w:ascii="宋体" w:hAnsi="宋体" w:cs="宋体"/>
        </w:rPr>
        <w:t>落实教研领导机制：三领三做。【三领】领方向、领路径、领方法。【三做】没有老师行，跟着做；和老师差不多，陪着做；我比老师行，带着做。</w:t>
      </w:r>
      <w:r>
        <w:rPr>
          <w:rFonts w:hint="eastAsia" w:ascii="宋体" w:hAnsi="宋体" w:cs="宋体"/>
          <w:bCs/>
        </w:rPr>
        <w:t>重点推进【四结合项目】：即观察-解读儿童与《3-6岁儿童发展指南》指标举例解读的结合；周例会与能反映幼儿发展的课程游戏化经典案例分享的结合；月考核与提高儿童课程游戏化能力的结合；集体调研、年级组长三权三为等与课程核心组深度下水工作的结合。</w:t>
      </w:r>
    </w:p>
    <w:p>
      <w:pPr>
        <w:pStyle w:val="9"/>
        <w:spacing w:line="332" w:lineRule="auto"/>
        <w:ind w:firstLine="420" w:firstLineChars="200"/>
        <w:jc w:val="left"/>
        <w:rPr>
          <w:rFonts w:hint="eastAsia" w:ascii="宋体" w:hAnsi="宋体" w:cs="宋体"/>
        </w:rPr>
      </w:pPr>
      <w:r>
        <w:rPr>
          <w:rFonts w:hint="eastAsia" w:ascii="宋体" w:hAnsi="宋体" w:cs="宋体"/>
          <w:lang w:val="en-US" w:eastAsia="zh-CN"/>
        </w:rPr>
        <w:t>2、</w:t>
      </w:r>
      <w:r>
        <w:rPr>
          <w:rFonts w:hint="eastAsia" w:ascii="宋体" w:hAnsi="宋体" w:cs="宋体"/>
        </w:rPr>
        <w:t>制定教研与调研质量标准。建立调研、教研与执行标准势在必行，主要围绕前期的准备，即准备什么、如何准备、准备到什么程度；现场的执行关注要点；后期执行的效果，做什么、如何做、呈现怎样的状态等，围绕人的发展制定标准。</w:t>
      </w:r>
    </w:p>
    <w:p>
      <w:pPr>
        <w:spacing w:line="332" w:lineRule="auto"/>
        <w:ind w:firstLine="420" w:firstLineChars="200"/>
        <w:rPr>
          <w:rFonts w:hint="eastAsia"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积累“两类”研究经验。一是积累教科研研究经验，即研究规范、研究方法、研究实效等。二是积累课程建设、园所发展的实践性经验，重点将在以下开展探索：其一是对支持性课程实施路径与组织策略的研究：紧扣“游戏化、生活化、适宜性”特质，通过典型实践案例研讨与诊断，探索支持性课程的实践路径，形成有效的实践策略。其二是对建设过程中重难点研究：兼顾预设的主要问题以及过程中动态生成的问题，通过微型课题研究寻求解决策略，积累实践经验。</w:t>
      </w:r>
    </w:p>
    <w:p>
      <w:pPr>
        <w:rPr>
          <w:rFonts w:hint="eastAsia" w:ascii="宋体" w:hAnsi="宋体" w:cs="宋体"/>
          <w:szCs w:val="21"/>
        </w:rPr>
      </w:pPr>
    </w:p>
    <w:p>
      <w:pPr>
        <w:rPr>
          <w:rFonts w:hint="eastAsia"/>
          <w:lang w:eastAsia="zh-CN"/>
        </w:rPr>
      </w:pPr>
      <w:r>
        <w:rPr>
          <w:rFonts w:hint="eastAsia"/>
          <w:lang w:eastAsia="zh-CN"/>
        </w:rPr>
        <w:t>附</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银河幼儿园</w:t>
      </w:r>
      <w:r>
        <w:rPr>
          <w:rFonts w:hint="eastAsia" w:ascii="黑体" w:hAnsi="黑体" w:eastAsia="黑体" w:cs="黑体"/>
          <w:sz w:val="32"/>
          <w:szCs w:val="32"/>
          <w:lang w:val="en-US" w:eastAsia="zh-CN"/>
        </w:rPr>
        <w:t>2018年成果统计表</w:t>
      </w:r>
    </w:p>
    <w:p>
      <w:pPr>
        <w:jc w:val="center"/>
        <w:rPr>
          <w:rFonts w:hint="eastAsia" w:ascii="黑体" w:hAnsi="黑体" w:eastAsia="黑体" w:cs="黑体"/>
          <w:sz w:val="32"/>
          <w:szCs w:val="32"/>
          <w:lang w:val="en-US" w:eastAsia="zh-CN"/>
        </w:rPr>
      </w:pPr>
    </w:p>
    <w:tbl>
      <w:tblPr>
        <w:tblStyle w:val="8"/>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884"/>
        <w:gridCol w:w="516"/>
        <w:gridCol w:w="1517"/>
        <w:gridCol w:w="1867"/>
        <w:gridCol w:w="5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061" w:type="dxa"/>
            <w:noWrap w:val="0"/>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en-US" w:eastAsia="zh-CN"/>
              </w:rPr>
              <w:t>内容</w:t>
            </w:r>
          </w:p>
        </w:tc>
        <w:tc>
          <w:tcPr>
            <w:tcW w:w="8117" w:type="dxa"/>
            <w:gridSpan w:val="6"/>
            <w:noWrap w:val="0"/>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主要成果数据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61" w:type="dxa"/>
            <w:vMerge w:val="restart"/>
            <w:noWrap w:val="0"/>
            <w:vAlign w:val="center"/>
          </w:tcPr>
          <w:p>
            <w:pPr>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人事调整</w:t>
            </w: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提拔副园长2人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汪田田、王禹</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新北区社会事业局</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061" w:type="dxa"/>
            <w:vMerge w:val="continue"/>
            <w:noWrap w:val="0"/>
            <w:vAlign w:val="center"/>
          </w:tcPr>
          <w:p>
            <w:pPr>
              <w:spacing w:line="360" w:lineRule="auto"/>
              <w:jc w:val="center"/>
              <w:rPr>
                <w:rFonts w:hint="eastAsia" w:ascii="宋体" w:hAnsi="宋体" w:eastAsia="宋体" w:cs="宋体"/>
                <w:b/>
                <w:bCs/>
                <w:kern w:val="0"/>
                <w:sz w:val="21"/>
                <w:szCs w:val="21"/>
              </w:rPr>
            </w:pP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调整中层2人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王静、钱力</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王静由教科室副主任调整为教科室主任；钱力年级组长调整为办公室主任</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061" w:type="dxa"/>
            <w:vMerge w:val="continue"/>
            <w:noWrap w:val="0"/>
            <w:vAlign w:val="center"/>
          </w:tcPr>
          <w:p>
            <w:pPr>
              <w:spacing w:line="360" w:lineRule="auto"/>
              <w:jc w:val="center"/>
              <w:rPr>
                <w:rFonts w:hint="eastAsia" w:ascii="宋体" w:hAnsi="宋体" w:eastAsia="宋体" w:cs="宋体"/>
                <w:b/>
                <w:bCs/>
                <w:kern w:val="0"/>
                <w:sz w:val="21"/>
                <w:szCs w:val="21"/>
              </w:rPr>
            </w:pP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岗位晋升2人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蒋皛劼、黄超</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总务助理晋升为总务副主任</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061" w:type="dxa"/>
            <w:vMerge w:val="continue"/>
            <w:noWrap w:val="0"/>
            <w:vAlign w:val="center"/>
          </w:tcPr>
          <w:p>
            <w:pPr>
              <w:spacing w:line="360" w:lineRule="auto"/>
              <w:jc w:val="center"/>
              <w:rPr>
                <w:rFonts w:hint="eastAsia" w:ascii="宋体" w:hAnsi="宋体" w:eastAsia="宋体" w:cs="宋体"/>
                <w:b/>
                <w:bCs/>
                <w:kern w:val="0"/>
                <w:sz w:val="21"/>
                <w:szCs w:val="21"/>
              </w:rPr>
            </w:pP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岗位新聘6人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冯越、高玉晶、朱靖波、郑李娜、李婷、尹彦</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冯越、高玉晶聘为年级组长；朱靖波、郑李娜、李婷聘为年级副组长；尹彦聘为财务助理</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61" w:type="dxa"/>
            <w:vMerge w:val="continue"/>
            <w:noWrap w:val="0"/>
            <w:vAlign w:val="center"/>
          </w:tcPr>
          <w:p>
            <w:pPr>
              <w:spacing w:line="360" w:lineRule="auto"/>
              <w:jc w:val="center"/>
              <w:rPr>
                <w:rFonts w:hint="eastAsia" w:ascii="宋体" w:hAnsi="宋体" w:eastAsia="宋体" w:cs="宋体"/>
                <w:b/>
                <w:bCs/>
                <w:kern w:val="0"/>
                <w:sz w:val="21"/>
                <w:szCs w:val="21"/>
              </w:rPr>
            </w:pP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借调1人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徐志国</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新北区社会事业局教研室</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061" w:type="dxa"/>
            <w:vMerge w:val="continue"/>
            <w:noWrap w:val="0"/>
            <w:vAlign w:val="center"/>
          </w:tcPr>
          <w:p>
            <w:pPr>
              <w:spacing w:line="360" w:lineRule="auto"/>
              <w:jc w:val="center"/>
              <w:rPr>
                <w:rFonts w:hint="eastAsia" w:ascii="宋体" w:hAnsi="宋体" w:eastAsia="宋体" w:cs="宋体"/>
                <w:b/>
                <w:bCs/>
                <w:kern w:val="0"/>
                <w:sz w:val="21"/>
                <w:szCs w:val="21"/>
              </w:rPr>
            </w:pPr>
          </w:p>
        </w:tc>
        <w:tc>
          <w:tcPr>
            <w:tcW w:w="240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退休1人</w:t>
            </w:r>
          </w:p>
        </w:tc>
        <w:tc>
          <w:tcPr>
            <w:tcW w:w="1517"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陈美英</w:t>
            </w:r>
          </w:p>
        </w:tc>
        <w:tc>
          <w:tcPr>
            <w:tcW w:w="2450" w:type="dxa"/>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原副园长</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061" w:type="dxa"/>
            <w:vMerge w:val="restart"/>
            <w:noWrap w:val="0"/>
            <w:vAlign w:val="center"/>
          </w:tcPr>
          <w:p>
            <w:pPr>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园所荣誉</w:t>
            </w:r>
          </w:p>
        </w:tc>
        <w:tc>
          <w:tcPr>
            <w:tcW w:w="3917" w:type="dxa"/>
            <w:gridSpan w:val="3"/>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获江苏省校（园）长跟岗基地</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江苏省师训干训中心</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rPr>
            </w:pPr>
          </w:p>
        </w:tc>
        <w:tc>
          <w:tcPr>
            <w:tcW w:w="3917" w:type="dxa"/>
            <w:gridSpan w:val="3"/>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获江苏首批省教师发展示范基地称号</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江苏省教育厅师资处</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3917" w:type="dxa"/>
            <w:gridSpan w:val="3"/>
            <w:noWrap w:val="0"/>
            <w:vAlign w:val="top"/>
          </w:tcPr>
          <w:p>
            <w:pPr>
              <w:numPr>
                <w:ilvl w:val="0"/>
                <w:numId w:val="0"/>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获江苏省教科研先进单位</w:t>
            </w:r>
          </w:p>
        </w:tc>
        <w:tc>
          <w:tcPr>
            <w:tcW w:w="2450" w:type="dxa"/>
            <w:gridSpan w:val="2"/>
            <w:noWrap w:val="0"/>
            <w:vAlign w:val="top"/>
          </w:tcPr>
          <w:p>
            <w:pPr>
              <w:numPr>
                <w:ilvl w:val="0"/>
                <w:numId w:val="0"/>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江苏省教育科学研究院</w:t>
            </w:r>
          </w:p>
        </w:tc>
        <w:tc>
          <w:tcPr>
            <w:tcW w:w="1750"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restart"/>
            <w:noWrap w:val="0"/>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教师发展</w:t>
            </w:r>
          </w:p>
        </w:tc>
        <w:tc>
          <w:tcPr>
            <w:tcW w:w="2400" w:type="dxa"/>
            <w:gridSpan w:val="2"/>
            <w:noWrap w:val="0"/>
            <w:vAlign w:val="top"/>
          </w:tcPr>
          <w:p>
            <w:pPr>
              <w:numPr>
                <w:ilvl w:val="0"/>
                <w:numId w:val="0"/>
              </w:numPr>
              <w:spacing w:line="360" w:lineRule="auto"/>
              <w:ind w:left="0" w:leftChars="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获幼一教师职称</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高丽泽</w:t>
            </w:r>
          </w:p>
        </w:tc>
        <w:tc>
          <w:tcPr>
            <w:tcW w:w="2450" w:type="dxa"/>
            <w:gridSpan w:val="2"/>
            <w:noWrap w:val="0"/>
            <w:vAlign w:val="top"/>
          </w:tcPr>
          <w:p>
            <w:pPr>
              <w:numPr>
                <w:ilvl w:val="0"/>
                <w:numId w:val="0"/>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常州市社会人力资源局</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numPr>
                <w:ilvl w:val="0"/>
                <w:numId w:val="0"/>
              </w:numPr>
              <w:spacing w:line="360" w:lineRule="auto"/>
              <w:ind w:left="0" w:leftChars="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省教科研先进个人</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徐志国</w:t>
            </w:r>
          </w:p>
        </w:tc>
        <w:tc>
          <w:tcPr>
            <w:tcW w:w="2450" w:type="dxa"/>
            <w:gridSpan w:val="2"/>
            <w:noWrap w:val="0"/>
            <w:vAlign w:val="top"/>
          </w:tcPr>
          <w:p>
            <w:pPr>
              <w:numPr>
                <w:ilvl w:val="0"/>
                <w:numId w:val="0"/>
              </w:numPr>
              <w:spacing w:line="360" w:lineRule="auto"/>
              <w:ind w:left="0" w:leftChars="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江苏省教育科学研究院</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五级梯队新晋市学带</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汪田田、吴洁</w:t>
            </w:r>
          </w:p>
        </w:tc>
        <w:tc>
          <w:tcPr>
            <w:tcW w:w="2450" w:type="dxa"/>
            <w:gridSpan w:val="2"/>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常州市教育局</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五级梯队新晋市骨干</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钱力、高玉晶、魏剑</w:t>
            </w:r>
          </w:p>
        </w:tc>
        <w:tc>
          <w:tcPr>
            <w:tcW w:w="2450" w:type="dxa"/>
            <w:gridSpan w:val="2"/>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常州市教育局</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市管理拔尖人才</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王辉</w:t>
            </w:r>
          </w:p>
        </w:tc>
        <w:tc>
          <w:tcPr>
            <w:tcW w:w="2450" w:type="dxa"/>
            <w:gridSpan w:val="2"/>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常州市教育局</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参与新北区支陕</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魏剑</w:t>
            </w:r>
          </w:p>
        </w:tc>
        <w:tc>
          <w:tcPr>
            <w:tcW w:w="2450" w:type="dxa"/>
            <w:gridSpan w:val="2"/>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常州市教育局</w:t>
            </w: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2018.10.30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市区五级梯队人数</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22人</w:t>
            </w:r>
          </w:p>
        </w:tc>
        <w:tc>
          <w:tcPr>
            <w:tcW w:w="2450" w:type="dxa"/>
            <w:gridSpan w:val="2"/>
            <w:noWrap w:val="0"/>
            <w:vAlign w:val="top"/>
          </w:tcPr>
          <w:p>
            <w:pPr>
              <w:spacing w:line="360" w:lineRule="auto"/>
              <w:rPr>
                <w:rFonts w:hint="eastAsia" w:ascii="宋体" w:hAnsi="宋体" w:eastAsia="宋体" w:cs="宋体"/>
                <w:sz w:val="21"/>
                <w:szCs w:val="21"/>
                <w:lang w:val="en-US" w:eastAsia="zh-CN"/>
              </w:rPr>
            </w:pP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2400" w:type="dxa"/>
            <w:gridSpan w:val="2"/>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省市区学术团体人数</w:t>
            </w:r>
          </w:p>
        </w:tc>
        <w:tc>
          <w:tcPr>
            <w:tcW w:w="1517" w:type="dxa"/>
            <w:noWrap w:val="0"/>
            <w:vAlign w:val="top"/>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30人</w:t>
            </w:r>
          </w:p>
        </w:tc>
        <w:tc>
          <w:tcPr>
            <w:tcW w:w="2450" w:type="dxa"/>
            <w:gridSpan w:val="2"/>
            <w:noWrap w:val="0"/>
            <w:vAlign w:val="top"/>
          </w:tcPr>
          <w:p>
            <w:pPr>
              <w:spacing w:line="360" w:lineRule="auto"/>
              <w:rPr>
                <w:rFonts w:hint="eastAsia" w:ascii="宋体" w:hAnsi="宋体" w:eastAsia="宋体" w:cs="宋体"/>
                <w:sz w:val="21"/>
                <w:szCs w:val="21"/>
                <w:lang w:val="en-US" w:eastAsia="zh-CN"/>
              </w:rPr>
            </w:pPr>
          </w:p>
        </w:tc>
        <w:tc>
          <w:tcPr>
            <w:tcW w:w="1750" w:type="dxa"/>
            <w:noWrap w:val="0"/>
            <w:vAlign w:val="top"/>
          </w:tcPr>
          <w:p>
            <w:pPr>
              <w:spacing w:line="360" w:lineRule="auto"/>
              <w:jc w:val="center"/>
              <w:rPr>
                <w:rFonts w:hint="eastAsia" w:ascii="宋体" w:hAnsi="宋体" w:eastAsia="宋体" w:cs="宋体"/>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61" w:type="dxa"/>
            <w:vMerge w:val="restart"/>
            <w:noWrap w:val="0"/>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承办重大活动</w:t>
            </w:r>
          </w:p>
        </w:tc>
        <w:tc>
          <w:tcPr>
            <w:tcW w:w="3917" w:type="dxa"/>
            <w:gridSpan w:val="3"/>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江苏省教育厅基教处在我园召开课程游戏化建设工作会议</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江苏省教育厅基教处殷雅竹、虞永平、各大市幼教干部、教研员等</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61" w:type="dxa"/>
            <w:vMerge w:val="continue"/>
            <w:noWrap w:val="0"/>
            <w:vAlign w:val="center"/>
          </w:tcPr>
          <w:p>
            <w:pPr>
              <w:spacing w:line="360" w:lineRule="auto"/>
              <w:jc w:val="center"/>
              <w:rPr>
                <w:rFonts w:hint="eastAsia" w:ascii="宋体" w:hAnsi="宋体" w:eastAsia="宋体" w:cs="宋体"/>
                <w:b/>
                <w:bCs/>
                <w:sz w:val="21"/>
                <w:szCs w:val="21"/>
                <w:lang w:val="en-US" w:eastAsia="zh-CN"/>
              </w:rPr>
            </w:pPr>
          </w:p>
        </w:tc>
        <w:tc>
          <w:tcPr>
            <w:tcW w:w="3917" w:type="dxa"/>
            <w:gridSpan w:val="3"/>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承办北京人大报刊复印社组织的“幼儿园自主游戏与教师观察能力提升”培训班</w:t>
            </w:r>
          </w:p>
        </w:tc>
        <w:tc>
          <w:tcPr>
            <w:tcW w:w="2450" w:type="dxa"/>
            <w:gridSpan w:val="2"/>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北京人大报刊复印、面前全国同行</w:t>
            </w:r>
          </w:p>
        </w:tc>
        <w:tc>
          <w:tcPr>
            <w:tcW w:w="175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restart"/>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课程建设</w:t>
            </w:r>
          </w:p>
        </w:tc>
        <w:tc>
          <w:tcPr>
            <w:tcW w:w="1884" w:type="dxa"/>
            <w:noWrap w:val="0"/>
            <w:vAlign w:val="top"/>
          </w:tcPr>
          <w:p>
            <w:pPr>
              <w:spacing w:line="360" w:lineRule="auto"/>
              <w:jc w:val="center"/>
              <w:rPr>
                <w:rFonts w:hint="eastAsia" w:ascii="宋体" w:hAnsi="宋体" w:eastAsia="宋体" w:cs="宋体"/>
                <w:sz w:val="21"/>
                <w:szCs w:val="21"/>
                <w:lang w:val="en-US" w:eastAsia="zh-CN"/>
              </w:rPr>
            </w:pPr>
          </w:p>
        </w:tc>
        <w:tc>
          <w:tcPr>
            <w:tcW w:w="20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传承主题</w:t>
            </w:r>
          </w:p>
        </w:tc>
        <w:tc>
          <w:tcPr>
            <w:tcW w:w="1867"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生成小微主题</w:t>
            </w:r>
          </w:p>
        </w:tc>
        <w:tc>
          <w:tcPr>
            <w:tcW w:w="23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w:t>
            </w:r>
          </w:p>
        </w:tc>
        <w:tc>
          <w:tcPr>
            <w:tcW w:w="20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67"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3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w:t>
            </w:r>
          </w:p>
        </w:tc>
        <w:tc>
          <w:tcPr>
            <w:tcW w:w="20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67"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3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w:t>
            </w:r>
          </w:p>
        </w:tc>
        <w:tc>
          <w:tcPr>
            <w:tcW w:w="20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67"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333" w:type="dxa"/>
            <w:gridSpan w:val="2"/>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restart"/>
            <w:noWrap w:val="0"/>
            <w:vAlign w:val="center"/>
          </w:tcPr>
          <w:p>
            <w:pPr>
              <w:spacing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教科研</w:t>
            </w: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论文</w:t>
            </w:r>
          </w:p>
        </w:tc>
        <w:tc>
          <w:tcPr>
            <w:tcW w:w="6233" w:type="dxa"/>
            <w:gridSpan w:val="5"/>
            <w:noWrap w:val="0"/>
            <w:vAlign w:val="top"/>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获奖30篇，发表省级以上16篇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w:t>
            </w:r>
          </w:p>
        </w:tc>
        <w:tc>
          <w:tcPr>
            <w:tcW w:w="6233" w:type="dxa"/>
            <w:gridSpan w:val="5"/>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申报省级重点课题1项、市级重点课题1项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公开课</w:t>
            </w:r>
          </w:p>
        </w:tc>
        <w:tc>
          <w:tcPr>
            <w:tcW w:w="6233" w:type="dxa"/>
            <w:gridSpan w:val="5"/>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市级2节、区级5节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讲座</w:t>
            </w:r>
          </w:p>
        </w:tc>
        <w:tc>
          <w:tcPr>
            <w:tcW w:w="6233" w:type="dxa"/>
            <w:gridSpan w:val="5"/>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国家级2次、市级12次、区级8次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接待观摩</w:t>
            </w:r>
          </w:p>
        </w:tc>
        <w:tc>
          <w:tcPr>
            <w:tcW w:w="6233" w:type="dxa"/>
            <w:gridSpan w:val="5"/>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noWrap w:val="0"/>
            <w:vAlign w:val="center"/>
          </w:tcPr>
          <w:p>
            <w:pPr>
              <w:spacing w:line="360" w:lineRule="auto"/>
              <w:jc w:val="both"/>
              <w:rPr>
                <w:rFonts w:hint="eastAsia" w:ascii="宋体" w:hAnsi="宋体" w:eastAsia="宋体" w:cs="宋体"/>
                <w:b/>
                <w:bCs/>
                <w:sz w:val="21"/>
                <w:szCs w:val="21"/>
              </w:rPr>
            </w:pPr>
          </w:p>
        </w:tc>
        <w:tc>
          <w:tcPr>
            <w:tcW w:w="1884"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工作室</w:t>
            </w:r>
          </w:p>
        </w:tc>
        <w:tc>
          <w:tcPr>
            <w:tcW w:w="6233" w:type="dxa"/>
            <w:gridSpan w:val="5"/>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在原8个工作室的基础上保持数量不变，重组2个工作室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后勤保障</w:t>
            </w:r>
          </w:p>
        </w:tc>
        <w:tc>
          <w:tcPr>
            <w:tcW w:w="8117" w:type="dxa"/>
            <w:gridSpan w:val="6"/>
            <w:noWrap w:val="0"/>
            <w:vAlign w:val="top"/>
          </w:tcPr>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全年安全，无重大事故发生</w:t>
            </w:r>
            <w:r>
              <w:rPr>
                <w:rFonts w:hint="eastAsia" w:ascii="宋体" w:hAnsi="宋体" w:eastAsia="宋体" w:cs="宋体"/>
                <w:sz w:val="21"/>
                <w:szCs w:val="21"/>
                <w:lang w:eastAsia="zh-CN"/>
              </w:rPr>
              <w:t>；全年接受各级别安全工作检查</w:t>
            </w:r>
            <w:r>
              <w:rPr>
                <w:rFonts w:hint="eastAsia" w:ascii="宋体" w:hAnsi="宋体" w:eastAsia="宋体" w:cs="宋体"/>
                <w:sz w:val="21"/>
                <w:szCs w:val="21"/>
                <w:lang w:val="en-US" w:eastAsia="zh-CN"/>
              </w:rPr>
              <w:t>8次</w:t>
            </w:r>
            <w:r>
              <w:rPr>
                <w:rFonts w:hint="eastAsia" w:ascii="宋体" w:hAnsi="宋体" w:eastAsia="宋体" w:cs="宋体"/>
                <w:sz w:val="21"/>
                <w:szCs w:val="21"/>
                <w:lang w:eastAsia="zh-CN"/>
              </w:rPr>
              <w:t>，合格。</w:t>
            </w:r>
          </w:p>
          <w:p>
            <w:pPr>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2.卫生包干区先后进行了5次修改；新购洗地机、挤压拖把等新工具；月考核指标也调整更贴近实际操作要求和标准。</w:t>
            </w:r>
          </w:p>
          <w:p>
            <w:pPr>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3.幼儿身高体重双达标率和龋齿填充率分别是：67.9％、68.92％、79.52％。</w:t>
            </w:r>
          </w:p>
        </w:tc>
      </w:tr>
    </w:tbl>
    <w:p>
      <w:pPr>
        <w:rPr>
          <w:rFonts w:hint="eastAsia"/>
          <w:lang w:val="en-US" w:eastAsia="zh-CN"/>
        </w:rPr>
      </w:pPr>
    </w:p>
    <w:p>
      <w:pPr>
        <w:widowControl/>
        <w:ind w:firstLine="420" w:firstLineChars="200"/>
        <w:jc w:val="left"/>
        <w:rPr>
          <w:rFonts w:hint="eastAsia" w:ascii="宋体" w:hAnsi="宋体" w:cs="宋体"/>
          <w:szCs w:val="21"/>
        </w:rPr>
      </w:pPr>
    </w:p>
    <w:p>
      <w:pPr>
        <w:rPr>
          <w:rFonts w:hint="eastAsia"/>
          <w:lang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卡通简体">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B1C30"/>
    <w:rsid w:val="31191542"/>
    <w:rsid w:val="3D2438F6"/>
    <w:rsid w:val="3F966B9F"/>
    <w:rsid w:val="41B80E19"/>
    <w:rsid w:val="623B1C30"/>
    <w:rsid w:val="68EE77FE"/>
    <w:rsid w:val="791F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hint="eastAsia" w:ascii="Times New Roman" w:hAnsi="Times New Roman" w:eastAsia="宋体" w:cs="Times New Roman"/>
      <w:kern w:val="2"/>
      <w:sz w:val="18"/>
      <w:szCs w:val="18"/>
      <w:lang w:val="en-US" w:eastAsia="zh-CN" w:bidi="ar-SA"/>
    </w:rPr>
  </w:style>
  <w:style w:type="paragraph" w:styleId="3">
    <w:name w:val="header"/>
    <w:basedOn w:val="1"/>
    <w:uiPriority w:val="0"/>
    <w:pPr>
      <w:widowControl w:val="0"/>
      <w:pBdr>
        <w:bottom w:val="single" w:color="auto" w:sz="6" w:space="1"/>
      </w:pBdr>
      <w:tabs>
        <w:tab w:val="center" w:pos="4140"/>
        <w:tab w:val="right" w:pos="8300"/>
      </w:tabs>
      <w:snapToGrid w:val="0"/>
      <w:spacing w:after="0"/>
      <w:jc w:val="center"/>
    </w:pPr>
    <w:rPr>
      <w:rFonts w:hint="eastAsia" w:ascii="Times New Roman" w:hAnsi="Times New Roman" w:eastAsia="宋体" w:cs="Times New Roman"/>
      <w:kern w:val="2"/>
      <w:sz w:val="18"/>
      <w:szCs w:val="18"/>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rPr>
      <w:rFonts w:hint="eastAsia" w:ascii="Times New Roman" w:hAnsi="Times New Roman" w:eastAsia="宋体" w:cs="Times New Roman"/>
    </w:rPr>
  </w:style>
  <w:style w:type="table" w:styleId="8">
    <w:name w:val="Table Grid"/>
    <w:basedOn w:val="7"/>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2018-12-23T11:39:00Z</dcterms:created>
  <dc:creator>小五1397745592</dc:creator>
  <cp:lastModifiedBy>镜子</cp:lastModifiedBy>
  <dcterms:modified xsi:type="dcterms:W3CDTF">2018-12-27T15:21:31Z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