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  <w:lang w:val="en-US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人，其中男生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eastAsia"/>
              </w:rPr>
              <w:t>人。</w:t>
            </w:r>
            <w:r>
              <w:rPr>
                <w:rFonts w:hint="eastAsia"/>
                <w:lang w:val="en-US" w:eastAsia="zh-CN"/>
              </w:rPr>
              <w:t>学生年纪小，又天真烂漫，充满童心，对学校的生活很向往，但是对学校得规章制度，行为规范不了解，需要多加关注。多加引导。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积极和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397D"/>
    <w:rsid w:val="56242617"/>
    <w:rsid w:val="7D917D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2016-09-29T01:57:07Z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