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9E" w:rsidRPr="008D419E" w:rsidRDefault="008D419E" w:rsidP="008D419E">
      <w:pPr>
        <w:pBdr>
          <w:bottom w:val="single" w:sz="6" w:space="8" w:color="E7E7EB"/>
        </w:pBdr>
        <w:adjustRightInd/>
        <w:snapToGrid/>
        <w:spacing w:after="210"/>
        <w:outlineLvl w:val="1"/>
        <w:rPr>
          <w:rFonts w:ascii="宋体" w:eastAsia="宋体" w:hAnsi="宋体" w:cs="宋体"/>
          <w:sz w:val="36"/>
          <w:szCs w:val="36"/>
        </w:rPr>
      </w:pPr>
      <w:r w:rsidRPr="008D419E">
        <w:rPr>
          <w:rFonts w:ascii="宋体" w:eastAsia="宋体" w:hAnsi="宋体" w:cs="宋体"/>
          <w:sz w:val="36"/>
          <w:szCs w:val="36"/>
        </w:rPr>
        <w:t>府学十八景——进贤登科</w:t>
      </w:r>
    </w:p>
    <w:p w:rsidR="008D419E" w:rsidRPr="008D419E" w:rsidRDefault="008D419E" w:rsidP="008D419E">
      <w:pPr>
        <w:adjustRightInd/>
        <w:snapToGrid/>
        <w:spacing w:line="300" w:lineRule="atLeast"/>
        <w:rPr>
          <w:rFonts w:ascii="宋体" w:eastAsia="宋体" w:hAnsi="宋体" w:cs="宋体"/>
          <w:sz w:val="2"/>
          <w:szCs w:val="2"/>
        </w:rPr>
      </w:pPr>
      <w:r w:rsidRPr="008D419E">
        <w:rPr>
          <w:rFonts w:ascii="宋体" w:eastAsia="宋体" w:hAnsi="宋体" w:cs="宋体"/>
          <w:color w:val="999999"/>
          <w:sz w:val="21"/>
        </w:rPr>
        <w:t>2015-11-30</w:t>
      </w:r>
      <w:r w:rsidRPr="008D419E">
        <w:rPr>
          <w:rFonts w:ascii="宋体" w:eastAsia="宋体" w:hAnsi="宋体" w:cs="宋体"/>
          <w:sz w:val="2"/>
        </w:rPr>
        <w:t> </w:t>
      </w:r>
      <w:hyperlink r:id="rId4" w:anchor="#" w:history="1">
        <w:r w:rsidRPr="008D419E">
          <w:rPr>
            <w:rFonts w:ascii="宋体" w:eastAsia="宋体" w:hAnsi="宋体" w:cs="宋体"/>
            <w:color w:val="4395F5"/>
            <w:sz w:val="21"/>
          </w:rPr>
          <w:t>常州市第二中学</w:t>
        </w:r>
      </w:hyperlink>
    </w:p>
    <w:p w:rsidR="008D419E" w:rsidRPr="008D419E" w:rsidRDefault="008D419E" w:rsidP="008D419E">
      <w:pPr>
        <w:adjustRightInd/>
        <w:snapToGrid/>
        <w:spacing w:after="90"/>
        <w:rPr>
          <w:rFonts w:ascii="宋体" w:eastAsia="宋体" w:hAnsi="宋体" w:cs="宋体"/>
          <w:sz w:val="24"/>
          <w:szCs w:val="24"/>
        </w:rPr>
      </w:pPr>
      <w:r w:rsidRPr="008D419E">
        <w:rPr>
          <w:rFonts w:ascii="宋体" w:eastAsia="宋体" w:hAnsi="宋体" w:cs="宋体"/>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js_cover" o:spid="_x0000_i1025" type="#_x0000_t75" alt="" style="width:24pt;height:24pt"/>
        </w:pic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进贤坊为宋大观三年科考获徽宗褒奖后，郡守徐申于状元桥南所立。现有进贤坊为二○○八年重建，上有清代常州籍状元钱惟城所书“寒柏凌霜”四字。</w:t>
      </w:r>
    </w:p>
    <w:p w:rsidR="008D419E" w:rsidRPr="008D419E" w:rsidRDefault="008D419E" w:rsidP="008D419E">
      <w:pPr>
        <w:shd w:val="clear" w:color="auto" w:fill="FFFFFF"/>
        <w:adjustRightInd/>
        <w:snapToGrid/>
        <w:spacing w:after="0" w:line="312" w:lineRule="atLeast"/>
        <w:ind w:firstLine="480"/>
        <w:jc w:val="center"/>
        <w:rPr>
          <w:rFonts w:ascii="Helvetica" w:eastAsia="宋体" w:hAnsi="Helvetica" w:cs="Helvetica"/>
          <w:color w:val="3E3E3E"/>
          <w:sz w:val="24"/>
          <w:szCs w:val="24"/>
        </w:rPr>
      </w:pPr>
      <w:r w:rsidRPr="008D419E">
        <w:rPr>
          <w:rFonts w:ascii="Helvetica" w:eastAsia="宋体" w:hAnsi="Helvetica" w:cs="Helvetica"/>
          <w:color w:val="3E3E3E"/>
          <w:sz w:val="24"/>
          <w:szCs w:val="24"/>
        </w:rPr>
        <w:pict>
          <v:shape id="_x0000_i1026" type="#_x0000_t75" alt="" style="width:24pt;height:24pt"/>
        </w:pict>
      </w:r>
    </w:p>
    <w:p w:rsidR="008D419E" w:rsidRPr="008D419E" w:rsidRDefault="008D419E" w:rsidP="008D419E">
      <w:pPr>
        <w:shd w:val="clear" w:color="auto" w:fill="FFFFFF"/>
        <w:adjustRightInd/>
        <w:snapToGrid/>
        <w:spacing w:after="0" w:line="312" w:lineRule="atLeast"/>
        <w:ind w:firstLine="480"/>
        <w:jc w:val="center"/>
        <w:rPr>
          <w:rFonts w:ascii="Helvetica" w:eastAsia="宋体" w:hAnsi="Helvetica" w:cs="Helvetica"/>
          <w:color w:val="3E3E3E"/>
          <w:sz w:val="24"/>
          <w:szCs w:val="24"/>
        </w:rPr>
      </w:pPr>
      <w:r w:rsidRPr="008D419E">
        <w:rPr>
          <w:rFonts w:ascii="宋体" w:eastAsia="宋体" w:hAnsi="宋体" w:cs="Helvetica"/>
          <w:color w:val="3E3E3E"/>
          <w:sz w:val="24"/>
          <w:szCs w:val="24"/>
        </w:rPr>
        <w:pict>
          <v:shape id="_x0000_i1027" type="#_x0000_t75" alt="" style="width:24pt;height:24pt"/>
        </w:pict>
      </w:r>
      <w:r w:rsidRPr="008D419E">
        <w:rPr>
          <w:rFonts w:ascii="宋体" w:eastAsia="宋体" w:hAnsi="宋体" w:cs="Helvetica" w:hint="eastAsia"/>
          <w:color w:val="3E3E3E"/>
          <w:sz w:val="24"/>
          <w:szCs w:val="24"/>
        </w:rPr>
        <w:br/>
      </w:r>
    </w:p>
    <w:p w:rsidR="008D419E" w:rsidRPr="008D419E" w:rsidRDefault="008D419E" w:rsidP="008D419E">
      <w:pPr>
        <w:shd w:val="clear" w:color="auto" w:fill="FFFFFF"/>
        <w:adjustRightInd/>
        <w:snapToGrid/>
        <w:spacing w:after="0" w:line="312" w:lineRule="atLeast"/>
        <w:ind w:firstLine="480"/>
        <w:jc w:val="center"/>
        <w:rPr>
          <w:rFonts w:ascii="Helvetica" w:eastAsia="宋体" w:hAnsi="Helvetica" w:cs="Helvetica"/>
          <w:color w:val="3E3E3E"/>
          <w:sz w:val="24"/>
          <w:szCs w:val="24"/>
        </w:rPr>
      </w:pPr>
      <w:r w:rsidRPr="008D419E">
        <w:rPr>
          <w:rFonts w:ascii="宋体" w:eastAsia="宋体" w:hAnsi="宋体" w:cs="Helvetica"/>
          <w:color w:val="3E3E3E"/>
          <w:sz w:val="24"/>
          <w:szCs w:val="24"/>
        </w:rPr>
        <w:pict>
          <v:shape id="_x0000_i1028" type="#_x0000_t75" alt="" style="width:24pt;height:24pt"/>
        </w:pict>
      </w:r>
      <w:r w:rsidRPr="008D419E">
        <w:rPr>
          <w:rFonts w:ascii="宋体" w:eastAsia="宋体" w:hAnsi="宋体" w:cs="Helvetica" w:hint="eastAsia"/>
          <w:color w:val="3E3E3E"/>
          <w:sz w:val="24"/>
          <w:szCs w:val="24"/>
        </w:rPr>
        <w:br/>
      </w:r>
    </w:p>
    <w:p w:rsidR="008D419E" w:rsidRPr="008D419E" w:rsidRDefault="008D419E" w:rsidP="008D419E">
      <w:pPr>
        <w:shd w:val="clear" w:color="auto" w:fill="FFFFFF"/>
        <w:adjustRightInd/>
        <w:snapToGrid/>
        <w:spacing w:after="0" w:line="312" w:lineRule="atLeast"/>
        <w:ind w:firstLine="480"/>
        <w:jc w:val="center"/>
        <w:rPr>
          <w:rFonts w:ascii="Helvetica" w:eastAsia="宋体" w:hAnsi="Helvetica" w:cs="Helvetica"/>
          <w:color w:val="3E3E3E"/>
          <w:sz w:val="24"/>
          <w:szCs w:val="24"/>
        </w:rPr>
      </w:pPr>
    </w:p>
    <w:p w:rsidR="008D419E" w:rsidRPr="008D419E" w:rsidRDefault="008D419E" w:rsidP="008D419E">
      <w:pPr>
        <w:shd w:val="clear" w:color="auto" w:fill="FFFFFF"/>
        <w:adjustRightInd/>
        <w:snapToGrid/>
        <w:spacing w:after="0" w:line="312" w:lineRule="atLeast"/>
        <w:ind w:firstLine="480"/>
        <w:jc w:val="center"/>
        <w:rPr>
          <w:rFonts w:ascii="Helvetica" w:eastAsia="宋体" w:hAnsi="Helvetica" w:cs="Helvetica"/>
          <w:color w:val="3E3E3E"/>
          <w:sz w:val="24"/>
          <w:szCs w:val="24"/>
        </w:rPr>
      </w:pP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背景链接：</w:t>
      </w:r>
    </w:p>
    <w:p w:rsidR="008D419E" w:rsidRPr="008D419E" w:rsidRDefault="008D419E" w:rsidP="008D419E">
      <w:pPr>
        <w:shd w:val="clear" w:color="auto" w:fill="FFFFFF"/>
        <w:adjustRightInd/>
        <w:snapToGrid/>
        <w:spacing w:after="0" w:line="312" w:lineRule="atLeast"/>
        <w:rPr>
          <w:rFonts w:ascii="Helvetica" w:eastAsia="宋体" w:hAnsi="Helvetica" w:cs="Helvetica"/>
          <w:color w:val="3E3E3E"/>
          <w:sz w:val="24"/>
          <w:szCs w:val="24"/>
        </w:rPr>
      </w:pPr>
      <w:r w:rsidRPr="008D419E">
        <w:rPr>
          <w:rFonts w:ascii="宋体" w:eastAsia="宋体" w:hAnsi="宋体" w:cs="Helvetica" w:hint="eastAsia"/>
          <w:b/>
          <w:bCs/>
          <w:color w:val="3E3E3E"/>
          <w:sz w:val="24"/>
          <w:szCs w:val="24"/>
        </w:rPr>
        <w:t>（一）明清地方“生员”(“秀才”)考：</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科举的第一级考试以县、府为单位，分为“县试”、“府试”及“院试”三个阶段。</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县试由各县知县主持，每年二月举行，连考五场。</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府试由府学官员主持，每年四月举行，连考三场。通过县、府试的称为“童生”。</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院试每三年举行两次，由皇帝任命的学政到各地府学主考。院试考两场。院试第一场录取人数，为当取秀才名额之一倍。第二场覆试后，拆弥封，写姓名。</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通过院试的童生都被称为“生员”，俗称“秀才”，有了“功名”。进入士大夫阶层；有免除差徭，见知县不跪、不能随便用刑等特权。</w:t>
      </w:r>
    </w:p>
    <w:p w:rsidR="008D419E" w:rsidRPr="008D419E" w:rsidRDefault="008D419E" w:rsidP="008D419E">
      <w:pPr>
        <w:shd w:val="clear" w:color="auto" w:fill="FFFFFF"/>
        <w:adjustRightInd/>
        <w:snapToGrid/>
        <w:spacing w:after="0" w:line="312" w:lineRule="atLeast"/>
        <w:rPr>
          <w:rFonts w:ascii="Helvetica" w:eastAsia="宋体" w:hAnsi="Helvetica" w:cs="Helvetica"/>
          <w:color w:val="3E3E3E"/>
          <w:sz w:val="24"/>
          <w:szCs w:val="24"/>
        </w:rPr>
      </w:pPr>
      <w:r w:rsidRPr="008D419E">
        <w:rPr>
          <w:rFonts w:ascii="宋体" w:eastAsia="宋体" w:hAnsi="宋体" w:cs="Helvetica" w:hint="eastAsia"/>
          <w:b/>
          <w:bCs/>
          <w:color w:val="3E3E3E"/>
          <w:sz w:val="24"/>
          <w:szCs w:val="24"/>
        </w:rPr>
        <w:t>（二）“九年制义务教育”和“公费生”、“自费生” ：</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“生员”即“县、府学生”的意思，到府、县学就读，以九年为上限。（大多因考中举人、末位淘汰等原因不到九年）</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学生分“廪膳生”、“增广生”和“附学生”三类。初入学为附学生，经岁、科两考优秀者递补为增广生和廪膳生。廪膳生和增广生由国家按月发伙食费，附学生自费。廪膳生和增广生人数，每届府学40人，州学30人，县学20人。</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县、府学内的岁考每年举行一次，成绩列入优等者升等，劣等者降等（廪膳生、增广生、附学生）。最优在学为廪膳生者，升中央官学，为拔（优）贡生。</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县、府学内的科考为乡试（省级“举人”考）资格考。每隔年举行一次，列入优等者有应乡试的资格。</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lastRenderedPageBreak/>
        <w:t>从宋代开始，国家拨给县、府的学田是官学资金的主要来源，用于廪膳生、增广生的生活费、教师束修和其他各项开支。校园修建则多为政府额外拨款和民间筹资。</w:t>
      </w:r>
    </w:p>
    <w:p w:rsidR="008D419E" w:rsidRPr="008D419E" w:rsidRDefault="008D419E" w:rsidP="008D419E">
      <w:pPr>
        <w:shd w:val="clear" w:color="auto" w:fill="FFFFFF"/>
        <w:adjustRightInd/>
        <w:snapToGrid/>
        <w:spacing w:after="0" w:line="312" w:lineRule="atLeast"/>
        <w:rPr>
          <w:rFonts w:ascii="Helvetica" w:eastAsia="宋体" w:hAnsi="Helvetica" w:cs="Helvetica"/>
          <w:color w:val="3E3E3E"/>
          <w:sz w:val="24"/>
          <w:szCs w:val="24"/>
        </w:rPr>
      </w:pPr>
      <w:r w:rsidRPr="008D419E">
        <w:rPr>
          <w:rFonts w:ascii="宋体" w:eastAsia="宋体" w:hAnsi="宋体" w:cs="Helvetica" w:hint="eastAsia"/>
          <w:b/>
          <w:bCs/>
          <w:color w:val="3E3E3E"/>
          <w:sz w:val="24"/>
          <w:szCs w:val="24"/>
        </w:rPr>
        <w:t>（三）明清乡试（“举人”）和会试(“进士”)、殿试：</w:t>
      </w:r>
    </w:p>
    <w:p w:rsidR="008D419E" w:rsidRPr="008D419E" w:rsidRDefault="008D419E" w:rsidP="008D419E">
      <w:pPr>
        <w:shd w:val="clear" w:color="auto" w:fill="FFFFFF"/>
        <w:adjustRightInd/>
        <w:snapToGrid/>
        <w:spacing w:after="0" w:line="312" w:lineRule="atLeast"/>
        <w:rPr>
          <w:rFonts w:ascii="Helvetica" w:eastAsia="宋体" w:hAnsi="Helvetica" w:cs="Helvetica"/>
          <w:color w:val="3E3E3E"/>
          <w:sz w:val="24"/>
          <w:szCs w:val="24"/>
        </w:rPr>
      </w:pPr>
      <w:r w:rsidRPr="008D419E">
        <w:rPr>
          <w:rFonts w:ascii="宋体" w:eastAsia="宋体" w:hAnsi="宋体" w:cs="Helvetica" w:hint="eastAsia"/>
          <w:color w:val="3E3E3E"/>
          <w:sz w:val="24"/>
          <w:szCs w:val="24"/>
        </w:rPr>
        <w:t>1、“乡试”（省级）每三年一次，在秋季八月，故称“秋闱”。分三场：八月初九、十二日和十五日。乡试考中的称“举人”。举人可以授官。</w:t>
      </w:r>
    </w:p>
    <w:p w:rsidR="008D419E" w:rsidRPr="008D419E" w:rsidRDefault="008D419E" w:rsidP="008D419E">
      <w:pPr>
        <w:shd w:val="clear" w:color="auto" w:fill="FFFFFF"/>
        <w:adjustRightInd/>
        <w:snapToGrid/>
        <w:spacing w:after="0" w:line="312" w:lineRule="atLeast"/>
        <w:rPr>
          <w:rFonts w:ascii="Helvetica" w:eastAsia="宋体" w:hAnsi="Helvetica" w:cs="Helvetica"/>
          <w:color w:val="3E3E3E"/>
          <w:sz w:val="24"/>
          <w:szCs w:val="24"/>
        </w:rPr>
      </w:pPr>
      <w:r w:rsidRPr="008D419E">
        <w:rPr>
          <w:rFonts w:ascii="宋体" w:eastAsia="宋体" w:hAnsi="宋体" w:cs="Helvetica" w:hint="eastAsia"/>
          <w:color w:val="3E3E3E"/>
          <w:sz w:val="24"/>
          <w:szCs w:val="24"/>
        </w:rPr>
        <w:t>2、“会试”（国家级）是由礼部主持的全国考试，于乡试第二年春季二月举行，故称“春闱”。全国举人在京师会试，考期也分三场：二月初九、十二、十五日。考中的称“贡士”。</w:t>
      </w:r>
    </w:p>
    <w:p w:rsidR="008D419E" w:rsidRPr="008D419E" w:rsidRDefault="008D419E" w:rsidP="008D419E">
      <w:pPr>
        <w:shd w:val="clear" w:color="auto" w:fill="FFFFFF"/>
        <w:adjustRightInd/>
        <w:snapToGrid/>
        <w:spacing w:after="0" w:line="312" w:lineRule="atLeast"/>
        <w:rPr>
          <w:rFonts w:ascii="Helvetica" w:eastAsia="宋体" w:hAnsi="Helvetica" w:cs="Helvetica"/>
          <w:color w:val="3E3E3E"/>
          <w:sz w:val="24"/>
          <w:szCs w:val="24"/>
        </w:rPr>
      </w:pPr>
      <w:r w:rsidRPr="008D419E">
        <w:rPr>
          <w:rFonts w:ascii="宋体" w:eastAsia="宋体" w:hAnsi="宋体" w:cs="Helvetica" w:hint="eastAsia"/>
          <w:color w:val="3E3E3E"/>
          <w:sz w:val="24"/>
          <w:szCs w:val="24"/>
        </w:rPr>
        <w:t>3、“殿试”在会试后当年举行，时间为三月十五。贡士在殿试中均不落榜，由皇帝安排名次。只考时务策一道。殿试毕，次日读卷，又次日放榜。录取分三甲：一甲三名“赐进士及第”（状元、榜眼、探花）；二甲“赐进士出身”，三甲“赐同进士出身”。进士出身为最高“学历”，授官最低为正七品（县官、翰林院编修）。</w:t>
      </w:r>
    </w:p>
    <w:p w:rsidR="008D419E" w:rsidRPr="008D419E" w:rsidRDefault="008D419E" w:rsidP="008D419E">
      <w:pPr>
        <w:shd w:val="clear" w:color="auto" w:fill="FFFFFF"/>
        <w:adjustRightInd/>
        <w:snapToGrid/>
        <w:spacing w:after="0" w:line="312" w:lineRule="atLeast"/>
        <w:rPr>
          <w:rFonts w:ascii="Helvetica" w:eastAsia="宋体" w:hAnsi="Helvetica" w:cs="Helvetica"/>
          <w:color w:val="3E3E3E"/>
          <w:sz w:val="24"/>
          <w:szCs w:val="24"/>
        </w:rPr>
      </w:pPr>
      <w:r w:rsidRPr="008D419E">
        <w:rPr>
          <w:rFonts w:ascii="宋体" w:eastAsia="宋体" w:hAnsi="宋体" w:cs="Helvetica" w:hint="eastAsia"/>
          <w:b/>
          <w:bCs/>
          <w:color w:val="3E3E3E"/>
          <w:sz w:val="24"/>
          <w:szCs w:val="24"/>
        </w:rPr>
        <w:t>（四）明清府学在科举考试中的作用：</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以科举考试结果为考核标准。明代县、府学教授、学正、教谕九年任内所教生员考中举人分别为九名、六名、三名为称职。生员按成绩在“廪膳生”、“增广生”和“附学生”中滚动，连续数次的岁考中成绩不佳者淘汰。</w:t>
      </w:r>
    </w:p>
    <w:p w:rsidR="008D419E" w:rsidRPr="008D419E" w:rsidRDefault="008D419E" w:rsidP="008D419E">
      <w:pPr>
        <w:shd w:val="clear" w:color="auto" w:fill="FFFFFF"/>
        <w:adjustRightInd/>
        <w:snapToGrid/>
        <w:spacing w:after="0" w:line="312" w:lineRule="atLeast"/>
        <w:ind w:firstLine="480"/>
        <w:rPr>
          <w:rFonts w:ascii="Helvetica" w:eastAsia="宋体" w:hAnsi="Helvetica" w:cs="Helvetica"/>
          <w:color w:val="3E3E3E"/>
          <w:sz w:val="24"/>
          <w:szCs w:val="24"/>
        </w:rPr>
      </w:pPr>
      <w:r w:rsidRPr="008D419E">
        <w:rPr>
          <w:rFonts w:ascii="宋体" w:eastAsia="宋体" w:hAnsi="宋体" w:cs="Helvetica" w:hint="eastAsia"/>
          <w:color w:val="3E3E3E"/>
          <w:sz w:val="24"/>
          <w:szCs w:val="24"/>
        </w:rPr>
        <w:t>地方县、府学是生员（秀才）选拔考试，之前的学习属个人行为，一旦考上秀才成为县、府学生员，便得到官方（府学）的经济大力资助和良师的悉心指导，大批贫寒农家子弟得以改变世代低微贫寒的命运而跻身于士大夫行列。</w:t>
      </w:r>
    </w:p>
    <w:p w:rsidR="008D419E" w:rsidRPr="008D419E" w:rsidRDefault="008D419E" w:rsidP="008D419E">
      <w:pPr>
        <w:shd w:val="clear" w:color="auto" w:fill="FFFFFF"/>
        <w:adjustRightInd/>
        <w:snapToGrid/>
        <w:spacing w:after="0" w:line="384" w:lineRule="atLeast"/>
        <w:rPr>
          <w:rFonts w:ascii="Helvetica" w:eastAsia="宋体" w:hAnsi="Helvetica" w:cs="Helvetica"/>
          <w:color w:val="3E3E3E"/>
          <w:sz w:val="24"/>
          <w:szCs w:val="24"/>
        </w:rPr>
      </w:pPr>
      <w:r w:rsidRPr="008D419E">
        <w:rPr>
          <w:rFonts w:ascii="宋体" w:eastAsia="宋体" w:hAnsi="宋体" w:cs="Helvetica" w:hint="eastAsia"/>
          <w:color w:val="3E3E3E"/>
          <w:sz w:val="24"/>
          <w:szCs w:val="24"/>
        </w:rPr>
        <w:t>“一将功成万骨枯”。那些挣扎在社会最底层的士子皓首穷经，很多终老科场而无缘中举，成为不辩菽麦、不能自存的废物，范进、孔乙己便是典型。但最后高中进士者，几乎个个都是精英中的精英。常州籍著名史学家吕思勉说，古人又不是傻子，何尝不知科举考的全是无用之物？只不过一个人能否将无用的东西学好，可以看出其人的资质智能，所以科举并不是用来选学有所成之士，而是在选可堪造就之人。</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8D419E"/>
    <w:rsid w:val="00BE47D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8D419E"/>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D419E"/>
    <w:rPr>
      <w:rFonts w:ascii="宋体" w:eastAsia="宋体" w:hAnsi="宋体" w:cs="宋体"/>
      <w:b/>
      <w:bCs/>
      <w:sz w:val="36"/>
      <w:szCs w:val="36"/>
    </w:rPr>
  </w:style>
  <w:style w:type="character" w:styleId="a3">
    <w:name w:val="Emphasis"/>
    <w:basedOn w:val="a0"/>
    <w:uiPriority w:val="20"/>
    <w:qFormat/>
    <w:rsid w:val="008D419E"/>
    <w:rPr>
      <w:i/>
      <w:iCs/>
    </w:rPr>
  </w:style>
  <w:style w:type="character" w:customStyle="1" w:styleId="apple-converted-space">
    <w:name w:val="apple-converted-space"/>
    <w:basedOn w:val="a0"/>
    <w:rsid w:val="008D419E"/>
  </w:style>
  <w:style w:type="character" w:styleId="a4">
    <w:name w:val="Hyperlink"/>
    <w:basedOn w:val="a0"/>
    <w:uiPriority w:val="99"/>
    <w:semiHidden/>
    <w:unhideWhenUsed/>
    <w:rsid w:val="008D419E"/>
    <w:rPr>
      <w:color w:val="0000FF"/>
      <w:u w:val="single"/>
    </w:rPr>
  </w:style>
  <w:style w:type="paragraph" w:styleId="a5">
    <w:name w:val="Normal (Web)"/>
    <w:basedOn w:val="a"/>
    <w:uiPriority w:val="99"/>
    <w:semiHidden/>
    <w:unhideWhenUsed/>
    <w:rsid w:val="008D419E"/>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8D419E"/>
    <w:rPr>
      <w:b/>
      <w:bCs/>
    </w:rPr>
  </w:style>
</w:styles>
</file>

<file path=word/webSettings.xml><?xml version="1.0" encoding="utf-8"?>
<w:webSettings xmlns:r="http://schemas.openxmlformats.org/officeDocument/2006/relationships" xmlns:w="http://schemas.openxmlformats.org/wordprocessingml/2006/main">
  <w:divs>
    <w:div w:id="558706489">
      <w:bodyDiv w:val="1"/>
      <w:marLeft w:val="0"/>
      <w:marRight w:val="0"/>
      <w:marTop w:val="0"/>
      <w:marBottom w:val="0"/>
      <w:divBdr>
        <w:top w:val="none" w:sz="0" w:space="0" w:color="auto"/>
        <w:left w:val="none" w:sz="0" w:space="0" w:color="auto"/>
        <w:bottom w:val="none" w:sz="0" w:space="0" w:color="auto"/>
        <w:right w:val="none" w:sz="0" w:space="0" w:color="auto"/>
      </w:divBdr>
      <w:divsChild>
        <w:div w:id="2083528504">
          <w:marLeft w:val="0"/>
          <w:marRight w:val="0"/>
          <w:marTop w:val="0"/>
          <w:marBottom w:val="270"/>
          <w:divBdr>
            <w:top w:val="none" w:sz="0" w:space="0" w:color="auto"/>
            <w:left w:val="none" w:sz="0" w:space="0" w:color="auto"/>
            <w:bottom w:val="none" w:sz="0" w:space="0" w:color="auto"/>
            <w:right w:val="none" w:sz="0" w:space="0" w:color="auto"/>
          </w:divBdr>
        </w:div>
        <w:div w:id="853155549">
          <w:marLeft w:val="0"/>
          <w:marRight w:val="0"/>
          <w:marTop w:val="0"/>
          <w:marBottom w:val="90"/>
          <w:divBdr>
            <w:top w:val="none" w:sz="0" w:space="0" w:color="auto"/>
            <w:left w:val="none" w:sz="0" w:space="0" w:color="auto"/>
            <w:bottom w:val="none" w:sz="0" w:space="0" w:color="auto"/>
            <w:right w:val="none" w:sz="0" w:space="0" w:color="auto"/>
          </w:divBdr>
        </w:div>
        <w:div w:id="43678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p.weixin.qq.com/s?__biz=MzAwNDA4NjU1Mg==&amp;mid=400642104&amp;idx=1&amp;sn=6705a375a32214817d68f3876599fe7e&amp;scene=19&amp;key=5300d2672aa815b3edcb50858ff67330e8db47e0b3a3d17f3b2fb358b09ef029e5578bec6676ef8ee9cbcb3d38b2ee6ce21db13226a5507e5006b121d398c93c46330daa1fd7201601d26f966724c40e&amp;ascene=1&amp;uin=MTc1MjE3ODAyMA%3D%3D&amp;devicetype=Windows+7&amp;version=6204014f&amp;pass_ticket=iXi95YZnHFe7Pr%2FDJt5yUSpA9IE8ZRnluWAPCPg7qNT%2BvCKv3LOS%2B%2FL1QKtGccY1&amp;winzoom=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2017-09-16T06:46:00Z</dcterms:modified>
</cp:coreProperties>
</file>