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课题研究</w:t>
      </w:r>
    </w:p>
    <w:p>
      <w:pPr>
        <w:jc w:val="center"/>
        <w:rPr>
          <w:rFonts w:hint="eastAsia"/>
          <w:b/>
          <w:bCs/>
          <w:sz w:val="24"/>
          <w:szCs w:val="24"/>
          <w:lang w:val="en-US" w:eastAsia="zh-CN"/>
        </w:rPr>
      </w:pPr>
      <w:r>
        <w:rPr>
          <w:rFonts w:hint="eastAsia"/>
          <w:b/>
          <w:bCs/>
          <w:sz w:val="24"/>
          <w:szCs w:val="24"/>
          <w:lang w:val="en-US" w:eastAsia="zh-CN"/>
        </w:rPr>
        <w:t>朝   阳  桥  小  学</w:t>
      </w:r>
    </w:p>
    <w:p>
      <w:pPr>
        <w:jc w:val="center"/>
        <w:rPr>
          <w:rFonts w:hint="eastAsia"/>
          <w:b/>
          <w:bCs/>
          <w:sz w:val="24"/>
          <w:szCs w:val="24"/>
          <w:lang w:val="en-US" w:eastAsia="zh-CN"/>
        </w:rPr>
      </w:pPr>
    </w:p>
    <w:p>
      <w:pPr>
        <w:ind w:firstLine="482" w:firstLineChars="200"/>
        <w:rPr>
          <w:rFonts w:hint="eastAsia"/>
          <w:b/>
          <w:bCs/>
          <w:sz w:val="24"/>
          <w:szCs w:val="24"/>
          <w:lang w:val="en-US" w:eastAsia="zh-CN"/>
        </w:rPr>
      </w:pPr>
      <w:r>
        <w:rPr>
          <w:rFonts w:hint="eastAsia"/>
          <w:b/>
          <w:bCs/>
          <w:sz w:val="24"/>
          <w:szCs w:val="24"/>
          <w:lang w:val="en-US" w:eastAsia="zh-CN"/>
        </w:rPr>
        <w:t>“基于结构教学的小学生空间想象能力的案例研究”理论学习笔记</w:t>
      </w:r>
    </w:p>
    <w:tbl>
      <w:tblPr>
        <w:tblStyle w:val="5"/>
        <w:tblpPr w:leftFromText="180" w:rightFromText="180" w:vertAnchor="page" w:horzAnchor="page" w:tblpX="1717" w:tblpY="288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2463"/>
        <w:gridCol w:w="1037"/>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tcPr>
          <w:p>
            <w:pPr>
              <w:ind w:firstLine="632" w:firstLineChars="300"/>
              <w:rPr>
                <w:rFonts w:hint="eastAsia" w:eastAsiaTheme="minorEastAsia"/>
                <w:b/>
                <w:bCs/>
                <w:vertAlign w:val="baseline"/>
                <w:lang w:val="en-US" w:eastAsia="zh-CN"/>
              </w:rPr>
            </w:pPr>
            <w:r>
              <w:rPr>
                <w:rFonts w:hint="eastAsia"/>
                <w:b/>
                <w:bCs/>
                <w:vertAlign w:val="baseline"/>
                <w:lang w:val="en-US" w:eastAsia="zh-CN"/>
              </w:rPr>
              <w:t>姓  名</w:t>
            </w:r>
          </w:p>
        </w:tc>
        <w:tc>
          <w:tcPr>
            <w:tcW w:w="2463" w:type="dxa"/>
          </w:tcPr>
          <w:p>
            <w:pPr>
              <w:rPr>
                <w:rFonts w:hint="eastAsia" w:eastAsiaTheme="minorEastAsia"/>
                <w:vertAlign w:val="baseline"/>
                <w:lang w:val="en-US" w:eastAsia="zh-CN"/>
              </w:rPr>
            </w:pPr>
            <w:r>
              <w:rPr>
                <w:rFonts w:hint="eastAsia"/>
                <w:vertAlign w:val="baseline"/>
                <w:lang w:val="en-US" w:eastAsia="zh-CN"/>
              </w:rPr>
              <w:t>宋冬兰</w:t>
            </w:r>
          </w:p>
        </w:tc>
        <w:tc>
          <w:tcPr>
            <w:tcW w:w="1037" w:type="dxa"/>
          </w:tcPr>
          <w:p>
            <w:pPr>
              <w:ind w:firstLine="211" w:firstLineChars="100"/>
              <w:rPr>
                <w:rFonts w:hint="eastAsia" w:eastAsiaTheme="minorEastAsia"/>
                <w:vertAlign w:val="baseline"/>
                <w:lang w:val="en-US" w:eastAsia="zh-CN"/>
              </w:rPr>
            </w:pPr>
            <w:r>
              <w:rPr>
                <w:rFonts w:hint="eastAsia"/>
                <w:b/>
                <w:bCs/>
                <w:vertAlign w:val="baseline"/>
                <w:lang w:val="en-US" w:eastAsia="zh-CN"/>
              </w:rPr>
              <w:t>年 级</w:t>
            </w:r>
          </w:p>
        </w:tc>
        <w:tc>
          <w:tcPr>
            <w:tcW w:w="2540" w:type="dxa"/>
          </w:tcPr>
          <w:p>
            <w:pPr>
              <w:rPr>
                <w:rFonts w:hint="eastAsia" w:eastAsiaTheme="minorEastAsia"/>
                <w:vertAlign w:val="baseline"/>
                <w:lang w:val="en-US" w:eastAsia="zh-CN"/>
              </w:rPr>
            </w:pPr>
            <w:r>
              <w:rPr>
                <w:rFonts w:hint="eastAsia"/>
                <w:vertAlign w:val="baseline"/>
                <w:lang w:val="en-US" w:eastAsia="zh-CN"/>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tcPr>
          <w:p>
            <w:pPr>
              <w:ind w:firstLine="422" w:firstLineChars="200"/>
              <w:rPr>
                <w:rFonts w:hint="eastAsia" w:eastAsiaTheme="minorEastAsia"/>
                <w:b/>
                <w:bCs/>
                <w:vertAlign w:val="baseline"/>
                <w:lang w:val="en-US" w:eastAsia="zh-CN"/>
              </w:rPr>
            </w:pPr>
            <w:r>
              <w:rPr>
                <w:rFonts w:hint="eastAsia"/>
                <w:b/>
                <w:bCs/>
                <w:vertAlign w:val="baseline"/>
                <w:lang w:val="en-US" w:eastAsia="zh-CN"/>
              </w:rPr>
              <w:t>学习摘要</w:t>
            </w:r>
          </w:p>
        </w:tc>
        <w:tc>
          <w:tcPr>
            <w:tcW w:w="6040" w:type="dxa"/>
            <w:gridSpan w:val="3"/>
          </w:tcPr>
          <w:p>
            <w:pPr>
              <w:rPr>
                <w:rFonts w:hint="eastAsia" w:eastAsiaTheme="minorEastAsia"/>
                <w:vertAlign w:val="baseline"/>
                <w:lang w:val="en-US" w:eastAsia="zh-CN"/>
              </w:rPr>
            </w:pPr>
            <w:r>
              <w:rPr>
                <w:rFonts w:hint="eastAsia"/>
                <w:vertAlign w:val="baseline"/>
                <w:lang w:val="en-US" w:eastAsia="zh-CN"/>
              </w:rPr>
              <w:t xml:space="preserve">                 </w:t>
            </w:r>
            <w:r>
              <w:rPr>
                <w:rFonts w:hint="eastAsia"/>
                <w:b/>
                <w:bCs/>
                <w:vertAlign w:val="baseline"/>
                <w:lang w:val="en-US" w:eastAsia="zh-CN"/>
              </w:rPr>
              <w:t>学   习   心   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8" w:hRule="atLeast"/>
        </w:trPr>
        <w:tc>
          <w:tcPr>
            <w:tcW w:w="2482" w:type="dxa"/>
          </w:tcPr>
          <w:p>
            <w:pPr>
              <w:pStyle w:val="2"/>
              <w:keepNext w:val="0"/>
              <w:keepLines w:val="0"/>
              <w:widowControl/>
              <w:suppressLineNumbers w:val="0"/>
              <w:rPr>
                <w:b/>
                <w:bCs w:val="0"/>
                <w:sz w:val="21"/>
                <w:szCs w:val="21"/>
              </w:rPr>
            </w:pPr>
            <w:r>
              <w:rPr>
                <w:b/>
                <w:bCs w:val="0"/>
                <w:sz w:val="21"/>
                <w:szCs w:val="21"/>
              </w:rPr>
              <w:t>如何进行小学数学的图形教学</w:t>
            </w:r>
          </w:p>
          <w:p>
            <w:pPr>
              <w:rPr>
                <w:sz w:val="21"/>
                <w:szCs w:val="21"/>
              </w:rPr>
            </w:pPr>
          </w:p>
          <w:p>
            <w:pPr>
              <w:ind w:firstLine="210" w:firstLineChars="100"/>
              <w:rPr>
                <w:sz w:val="21"/>
                <w:szCs w:val="21"/>
              </w:rPr>
            </w:pPr>
            <w:r>
              <w:rPr>
                <w:sz w:val="21"/>
                <w:szCs w:val="21"/>
              </w:rPr>
              <w:t>在现实情境中抽象出图形，精力建立模型的过程</w:t>
            </w:r>
            <w:r>
              <w:rPr>
                <w:sz w:val="21"/>
                <w:szCs w:val="21"/>
              </w:rPr>
              <w:br w:type="textWrapping"/>
            </w:r>
            <w:r>
              <w:rPr>
                <w:sz w:val="21"/>
                <w:szCs w:val="21"/>
              </w:rPr>
              <w:t> </w:t>
            </w:r>
          </w:p>
          <w:p>
            <w:pPr>
              <w:rPr>
                <w:sz w:val="21"/>
                <w:szCs w:val="21"/>
              </w:rPr>
            </w:pPr>
            <w:r>
              <w:rPr>
                <w:sz w:val="21"/>
                <w:szCs w:val="21"/>
              </w:rPr>
              <w:t>空间与图形的内容具有丰富的实际背景，在现实世界中有着极其广泛的应用，因此，数学课程应在重视将现实世界中的有关空间与图形的问题作为学习的素材，使学生从生活的空间中“发现”这些图形，经历现实源泉中抽象出数学模型的过程，体验图形与现实世界的密切联系。 由于在日常生活中最先接触的是各种各样的物体，因此，学生可以从认识立体图形开始。</w:t>
            </w:r>
          </w:p>
          <w:p>
            <w:pPr>
              <w:rPr>
                <w:sz w:val="21"/>
                <w:szCs w:val="21"/>
                <w:vertAlign w:val="baseline"/>
              </w:rPr>
            </w:pPr>
          </w:p>
        </w:tc>
        <w:tc>
          <w:tcPr>
            <w:tcW w:w="6040" w:type="dxa"/>
            <w:gridSpan w:val="3"/>
          </w:tcPr>
          <w:p>
            <w:pPr>
              <w:ind w:firstLine="420" w:firstLineChars="200"/>
              <w:rPr>
                <w:sz w:val="21"/>
                <w:szCs w:val="21"/>
              </w:rPr>
            </w:pPr>
            <w:r>
              <w:rPr>
                <w:rFonts w:hint="eastAsia"/>
                <w:sz w:val="21"/>
                <w:szCs w:val="21"/>
                <w:lang w:val="en-US" w:eastAsia="zh-CN"/>
              </w:rPr>
              <w:t>让学生</w:t>
            </w:r>
            <w:r>
              <w:rPr>
                <w:sz w:val="21"/>
                <w:szCs w:val="21"/>
              </w:rPr>
              <w:t>经历观察、操作、思考、想象、推理、交流、反思等活动</w:t>
            </w:r>
            <w:r>
              <w:rPr>
                <w:rFonts w:hint="eastAsia"/>
                <w:sz w:val="21"/>
                <w:szCs w:val="21"/>
                <w:lang w:eastAsia="zh-CN"/>
              </w:rPr>
              <w:t>、</w:t>
            </w:r>
            <w:r>
              <w:rPr>
                <w:sz w:val="21"/>
                <w:szCs w:val="21"/>
              </w:rPr>
              <w:t>探索并掌握基本图形的基本性质</w:t>
            </w:r>
          </w:p>
          <w:p>
            <w:pPr>
              <w:rPr>
                <w:sz w:val="21"/>
                <w:szCs w:val="21"/>
              </w:rPr>
            </w:pPr>
            <w:r>
              <w:rPr>
                <w:sz w:val="21"/>
                <w:szCs w:val="21"/>
              </w:rPr>
              <w:t>在孩子们玩的积木中有许多长方体、正方体、圆柱体等。他们见到的楼房、砖头、纸盒、箱子、书等等，更是给他们以长方体的形象;他们从小玩的皮球给了他们球的直观形象。从这些熟悉的物体中抽象并直观认识正方体、长方体、圆柱体、球等立体图形后，再通过从不同角度观察、搭积木、制作模型等活动，加深对这些图形的认识。通过观察这些立体图形的某个面、得出正方形、长方形、圆等平面图形。这种安排从具体到抽象，从空间到模型，从整体到局部，符合儿童的生活经验，也初步揭示了立体图形与平面图形的关系。</w:t>
            </w:r>
            <w:r>
              <w:rPr>
                <w:sz w:val="21"/>
                <w:szCs w:val="21"/>
              </w:rPr>
              <w:br w:type="textWrapping"/>
            </w:r>
            <w:r>
              <w:rPr>
                <w:rFonts w:hint="eastAsia"/>
                <w:sz w:val="21"/>
                <w:szCs w:val="21"/>
                <w:lang w:val="en-US" w:eastAsia="zh-CN"/>
              </w:rPr>
              <w:t xml:space="preserve">   </w:t>
            </w:r>
            <w:r>
              <w:rPr>
                <w:sz w:val="21"/>
                <w:szCs w:val="21"/>
              </w:rPr>
              <w:t>即使对于点线面等抽象的概念，学生的理解也需要背景，需要在现实生活中找到它们的“影子”。因此，学习点线面，应使学生通过丰富的实例，在具体的背景中理解这些基本元素及其关系，了解它们的广泛应用，而不是从其抽象的形式化的描述中接受它们。当你远远地观察霓虹灯组成的图案时，图案中的每个霓虹灯都是一个点;交通图上上点用来表示一个地方;电视屏幕上的画面也是由一个个小点组成;运用点可以组成数字和字母，而这正是点阵式打印机的原理。这些生活的实例，使学生体会到了“点”的真正含义及其广泛应用。“角”的概念也是如此，我们会在生活中找到许许多多角的形象，学生把这些形象印在脑子里，并从中抽象出角的本质特征。</w:t>
            </w:r>
          </w:p>
          <w:p>
            <w:pPr>
              <w:rPr>
                <w:sz w:val="21"/>
                <w:szCs w:val="21"/>
              </w:rPr>
            </w:pPr>
            <w:r>
              <w:rPr>
                <w:sz w:val="21"/>
                <w:szCs w:val="21"/>
              </w:rPr>
              <w:t>经历观察、操作、思考、想象、推理、交流、反思等活动，探索并掌握基本图形的基本性质</w:t>
            </w:r>
            <w:r>
              <w:rPr>
                <w:sz w:val="21"/>
                <w:szCs w:val="21"/>
              </w:rPr>
              <w:br w:type="textWrapping"/>
            </w:r>
            <w:r>
              <w:rPr>
                <w:rFonts w:hint="eastAsia"/>
                <w:sz w:val="21"/>
                <w:szCs w:val="21"/>
                <w:lang w:val="en-US" w:eastAsia="zh-CN"/>
              </w:rPr>
              <w:t xml:space="preserve">  </w:t>
            </w:r>
            <w:r>
              <w:rPr>
                <w:sz w:val="21"/>
                <w:szCs w:val="21"/>
              </w:rPr>
              <w:t>学生空间观念的发展、推理能力的提高，活动经验的积累、图形性质的探索等都是在数学实践中进行的。因此。数学课程应注重设计大量观察、操作、思考、想象、推理、交流、反思等活动，使学生在有想象性的、充满挑战的和富有思考的过程中， 图形的性质。这里需要强调的是学生动手操作的重要性。学生通过折叠、剪拼图形、图画以及测量建造模型、分类等活动，对图形的多方面性质有了亲身感受，这不仅为正式学习图形的性质奠定了基础，同时也积累了数学活动的经验，发展了学生的空间观念。亲身实践远比只是看一下要获得远远多的对图形的洞察。例如，当学生用纸拼成一个等腰三角形，就不难知道：等腰三角形可以分成两个同样的直角三角形，中间的那条线位置很特殊，今后研究等腰三角形时常常会用到它。</w:t>
            </w:r>
            <w:r>
              <w:rPr>
                <w:sz w:val="21"/>
                <w:szCs w:val="21"/>
              </w:rPr>
              <w:br w:type="textWrapping"/>
            </w:r>
            <w:r>
              <w:rPr>
                <w:rFonts w:hint="eastAsia"/>
                <w:sz w:val="21"/>
                <w:szCs w:val="21"/>
                <w:lang w:val="en-US" w:eastAsia="zh-CN"/>
              </w:rPr>
              <w:t xml:space="preserve">  </w:t>
            </w:r>
            <w:r>
              <w:rPr>
                <w:sz w:val="21"/>
                <w:szCs w:val="21"/>
              </w:rPr>
              <w:t>对于图形性质的探索过程，我们还需要强调探索方式的多样</w:t>
            </w:r>
            <w:r>
              <w:rPr>
                <w:rFonts w:hint="eastAsia"/>
                <w:sz w:val="21"/>
                <w:szCs w:val="21"/>
                <w:lang w:val="en-US" w:eastAsia="zh-CN"/>
              </w:rPr>
              <w:t>性，</w:t>
            </w:r>
            <w:r>
              <w:rPr>
                <w:sz w:val="21"/>
                <w:szCs w:val="21"/>
              </w:rPr>
              <w:t>同时鼓励学生独立探索尽可能多的性质</w:t>
            </w:r>
            <w:r>
              <w:rPr>
                <w:rFonts w:hint="eastAsia"/>
                <w:sz w:val="21"/>
                <w:szCs w:val="21"/>
                <w:lang w:eastAsia="zh-CN"/>
              </w:rPr>
              <w:t>。</w:t>
            </w:r>
            <w:r>
              <w:rPr>
                <w:sz w:val="21"/>
                <w:szCs w:val="21"/>
              </w:rPr>
              <w:t>然后通过交流寻找出图形的主要特征。例如，对于矩形的性质，学生可以通过观察发现其中心对称性，然后通过旋转等方式，尽可能多地发现矩形的性质。这里是将图形的变换特征与性质联系起来;学生也可以利用测量等方法探索矩形的性质。总之，在探索图形性质的过程中，要留给学生实践、思考与讨论的时间，这不仅能使他们对探索到的性质有更加深刻的理解，更重要的是，学生将积累丰富的直观经验和活动经验，发展有条理的思考和解决实际问题的能力。</w:t>
            </w:r>
          </w:p>
          <w:p>
            <w:pPr>
              <w:rPr>
                <w:sz w:val="21"/>
                <w:szCs w:val="21"/>
                <w:vertAlign w:val="baseline"/>
              </w:rPr>
            </w:pPr>
          </w:p>
        </w:tc>
      </w:tr>
    </w:tbl>
    <w:p>
      <w:pPr>
        <w:rPr>
          <w:rFonts w:hint="eastAsia"/>
          <w:b/>
          <w:bCs/>
          <w:sz w:val="24"/>
          <w:szCs w:val="24"/>
          <w:lang w:val="en-US" w:eastAsia="zh-CN"/>
        </w:rPr>
      </w:pPr>
    </w:p>
    <w:p>
      <w:pPr>
        <w:ind w:firstLine="482" w:firstLineChars="200"/>
        <w:rPr>
          <w:rFonts w:hint="eastAsia"/>
          <w:b/>
          <w:bCs/>
          <w:sz w:val="24"/>
          <w:szCs w:val="2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80EE1"/>
    <w:rsid w:val="78180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2018-12-12T12:00:00Z</dcterms:created>
  <dc:creator>SDL</dc:creator>
  <cp:lastModifiedBy>SDL</cp:lastModifiedBy>
  <dcterms:modified xsi:type="dcterms:W3CDTF">2018-12-12T12:01:27Z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