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979" w:rsidRDefault="00114979" w:rsidP="00114979">
      <w:pPr>
        <w:widowControl/>
        <w:spacing w:line="360" w:lineRule="auto"/>
        <w:jc w:val="center"/>
        <w:rPr>
          <w:rFonts w:ascii="宋体" w:hAnsi="宋体" w:cs="宋体" w:hint="eastAsia"/>
          <w:kern w:val="0"/>
          <w:sz w:val="24"/>
        </w:rPr>
      </w:pPr>
      <w:proofErr w:type="gramStart"/>
      <w:r>
        <w:rPr>
          <w:rFonts w:ascii="宋体" w:hAnsi="宋体" w:cs="宋体" w:hint="eastAsia"/>
          <w:kern w:val="0"/>
          <w:sz w:val="24"/>
        </w:rPr>
        <w:t>礼河实验</w:t>
      </w:r>
      <w:proofErr w:type="gramEnd"/>
      <w:r>
        <w:rPr>
          <w:rFonts w:ascii="宋体" w:hAnsi="宋体" w:cs="宋体" w:hint="eastAsia"/>
          <w:kern w:val="0"/>
          <w:sz w:val="24"/>
        </w:rPr>
        <w:t>学校</w:t>
      </w:r>
      <w:r>
        <w:rPr>
          <w:rFonts w:ascii="宋体" w:hAnsi="宋体" w:cs="宋体"/>
          <w:kern w:val="0"/>
          <w:sz w:val="24"/>
        </w:rPr>
        <w:t>教师读书笔记</w:t>
      </w:r>
    </w:p>
    <w:tbl>
      <w:tblPr>
        <w:tblW w:w="0" w:type="auto"/>
        <w:jc w:val="center"/>
        <w:tblLayout w:type="fixed"/>
        <w:tblLook w:val="0000"/>
      </w:tblPr>
      <w:tblGrid>
        <w:gridCol w:w="1896"/>
        <w:gridCol w:w="2276"/>
        <w:gridCol w:w="2280"/>
        <w:gridCol w:w="2050"/>
      </w:tblGrid>
      <w:tr w:rsidR="00114979" w:rsidTr="0020400A">
        <w:trPr>
          <w:trHeight w:val="495"/>
          <w:jc w:val="center"/>
        </w:trPr>
        <w:tc>
          <w:tcPr>
            <w:tcW w:w="1896" w:type="dxa"/>
            <w:tcBorders>
              <w:top w:val="single" w:sz="4" w:space="0" w:color="000000"/>
              <w:left w:val="single" w:sz="4" w:space="0" w:color="000000"/>
              <w:bottom w:val="single" w:sz="4" w:space="0" w:color="000000"/>
              <w:right w:val="single" w:sz="4" w:space="0" w:color="000000"/>
            </w:tcBorders>
            <w:vAlign w:val="center"/>
          </w:tcPr>
          <w:p w:rsidR="00114979" w:rsidRDefault="00114979" w:rsidP="0020400A">
            <w:pPr>
              <w:widowControl/>
              <w:spacing w:line="360" w:lineRule="auto"/>
              <w:jc w:val="center"/>
              <w:rPr>
                <w:rFonts w:ascii="宋体" w:hAnsi="宋体" w:cs="宋体"/>
                <w:kern w:val="0"/>
                <w:sz w:val="24"/>
              </w:rPr>
            </w:pPr>
            <w:r>
              <w:rPr>
                <w:rFonts w:ascii="宋体" w:hAnsi="宋体" w:cs="宋体"/>
                <w:kern w:val="0"/>
                <w:sz w:val="24"/>
              </w:rPr>
              <w:t>书籍或文章名称</w:t>
            </w:r>
          </w:p>
        </w:tc>
        <w:tc>
          <w:tcPr>
            <w:tcW w:w="6606" w:type="dxa"/>
            <w:gridSpan w:val="3"/>
            <w:tcBorders>
              <w:top w:val="single" w:sz="4" w:space="0" w:color="000000"/>
              <w:left w:val="nil"/>
              <w:bottom w:val="single" w:sz="4" w:space="0" w:color="000000"/>
              <w:right w:val="single" w:sz="4" w:space="0" w:color="000000"/>
            </w:tcBorders>
          </w:tcPr>
          <w:p w:rsidR="00114979" w:rsidRDefault="00114979" w:rsidP="0020400A">
            <w:pPr>
              <w:widowControl/>
              <w:spacing w:line="360" w:lineRule="auto"/>
              <w:jc w:val="left"/>
              <w:rPr>
                <w:rFonts w:ascii="宋体" w:hAnsi="宋体" w:cs="宋体" w:hint="eastAsia"/>
                <w:kern w:val="0"/>
                <w:sz w:val="24"/>
              </w:rPr>
            </w:pPr>
            <w:r>
              <w:rPr>
                <w:rFonts w:ascii="宋体" w:hAnsi="宋体" w:cs="宋体" w:hint="eastAsia"/>
                <w:kern w:val="0"/>
                <w:sz w:val="24"/>
              </w:rPr>
              <w:t>《做一个大写的教师》</w:t>
            </w:r>
          </w:p>
        </w:tc>
      </w:tr>
      <w:tr w:rsidR="00114979" w:rsidTr="0020400A">
        <w:trPr>
          <w:trHeight w:val="495"/>
          <w:jc w:val="center"/>
        </w:trPr>
        <w:tc>
          <w:tcPr>
            <w:tcW w:w="1896" w:type="dxa"/>
            <w:tcBorders>
              <w:top w:val="nil"/>
              <w:left w:val="single" w:sz="4" w:space="0" w:color="000000"/>
              <w:bottom w:val="single" w:sz="4" w:space="0" w:color="000000"/>
              <w:right w:val="single" w:sz="4" w:space="0" w:color="000000"/>
            </w:tcBorders>
            <w:vAlign w:val="center"/>
          </w:tcPr>
          <w:p w:rsidR="00114979" w:rsidRDefault="00114979" w:rsidP="0020400A">
            <w:pPr>
              <w:widowControl/>
              <w:spacing w:line="360" w:lineRule="auto"/>
              <w:jc w:val="center"/>
              <w:rPr>
                <w:rFonts w:ascii="宋体" w:hAnsi="宋体" w:cs="宋体"/>
                <w:kern w:val="0"/>
                <w:sz w:val="24"/>
              </w:rPr>
            </w:pPr>
            <w:r>
              <w:rPr>
                <w:rFonts w:ascii="宋体" w:hAnsi="宋体" w:cs="宋体"/>
                <w:kern w:val="0"/>
                <w:sz w:val="24"/>
              </w:rPr>
              <w:t>作 </w:t>
            </w:r>
            <w:r>
              <w:rPr>
                <w:rFonts w:ascii="宋体" w:hAnsi="宋体" w:cs="宋体" w:hint="eastAsia"/>
                <w:kern w:val="0"/>
                <w:sz w:val="24"/>
              </w:rPr>
              <w:t xml:space="preserve"> </w:t>
            </w:r>
            <w:r>
              <w:rPr>
                <w:rFonts w:ascii="宋体" w:hAnsi="宋体" w:cs="宋体"/>
                <w:kern w:val="0"/>
                <w:sz w:val="24"/>
              </w:rPr>
              <w:t> </w:t>
            </w:r>
            <w:r>
              <w:rPr>
                <w:rFonts w:ascii="宋体" w:hAnsi="宋体" w:cs="宋体" w:hint="eastAsia"/>
                <w:kern w:val="0"/>
                <w:sz w:val="24"/>
              </w:rPr>
              <w:t xml:space="preserve"> </w:t>
            </w:r>
            <w:r>
              <w:rPr>
                <w:rFonts w:ascii="宋体" w:hAnsi="宋体" w:cs="宋体"/>
                <w:kern w:val="0"/>
                <w:sz w:val="24"/>
              </w:rPr>
              <w:t>  者</w:t>
            </w:r>
          </w:p>
        </w:tc>
        <w:tc>
          <w:tcPr>
            <w:tcW w:w="2276" w:type="dxa"/>
            <w:tcBorders>
              <w:top w:val="nil"/>
              <w:left w:val="nil"/>
              <w:bottom w:val="single" w:sz="4" w:space="0" w:color="000000"/>
              <w:right w:val="single" w:sz="4" w:space="0" w:color="000000"/>
            </w:tcBorders>
          </w:tcPr>
          <w:p w:rsidR="00114979" w:rsidRDefault="00114979" w:rsidP="0020400A">
            <w:pPr>
              <w:widowControl/>
              <w:spacing w:line="360" w:lineRule="auto"/>
              <w:rPr>
                <w:rFonts w:ascii="宋体" w:hAnsi="宋体" w:cs="宋体" w:hint="eastAsia"/>
                <w:kern w:val="0"/>
                <w:sz w:val="24"/>
              </w:rPr>
            </w:pPr>
            <w:r>
              <w:rPr>
                <w:rFonts w:ascii="宋体" w:hAnsi="宋体" w:cs="宋体" w:hint="eastAsia"/>
                <w:kern w:val="0"/>
                <w:sz w:val="24"/>
              </w:rPr>
              <w:t>薛法根</w:t>
            </w:r>
          </w:p>
        </w:tc>
        <w:tc>
          <w:tcPr>
            <w:tcW w:w="2280" w:type="dxa"/>
            <w:tcBorders>
              <w:top w:val="single" w:sz="4" w:space="0" w:color="000000"/>
              <w:left w:val="nil"/>
              <w:bottom w:val="single" w:sz="4" w:space="0" w:color="000000"/>
              <w:right w:val="single" w:sz="4" w:space="0" w:color="000000"/>
            </w:tcBorders>
          </w:tcPr>
          <w:p w:rsidR="00114979" w:rsidRDefault="00114979" w:rsidP="0020400A">
            <w:pPr>
              <w:widowControl/>
              <w:spacing w:line="360" w:lineRule="auto"/>
              <w:jc w:val="center"/>
              <w:rPr>
                <w:rFonts w:ascii="宋体" w:hAnsi="宋体" w:cs="宋体"/>
                <w:kern w:val="0"/>
                <w:sz w:val="24"/>
              </w:rPr>
            </w:pPr>
            <w:r>
              <w:rPr>
                <w:rFonts w:ascii="宋体" w:hAnsi="宋体" w:cs="宋体"/>
                <w:kern w:val="0"/>
                <w:sz w:val="24"/>
              </w:rPr>
              <w:t>阅</w:t>
            </w:r>
            <w:r>
              <w:rPr>
                <w:rFonts w:ascii="宋体" w:hAnsi="宋体" w:cs="宋体" w:hint="eastAsia"/>
                <w:kern w:val="0"/>
                <w:sz w:val="24"/>
              </w:rPr>
              <w:t xml:space="preserve"> </w:t>
            </w:r>
            <w:r>
              <w:rPr>
                <w:rFonts w:ascii="宋体" w:hAnsi="宋体" w:cs="宋体"/>
                <w:kern w:val="0"/>
                <w:sz w:val="24"/>
              </w:rPr>
              <w:t>读</w:t>
            </w:r>
            <w:r>
              <w:rPr>
                <w:rFonts w:ascii="宋体" w:hAnsi="宋体" w:cs="宋体" w:hint="eastAsia"/>
                <w:kern w:val="0"/>
                <w:sz w:val="24"/>
              </w:rPr>
              <w:t xml:space="preserve"> </w:t>
            </w:r>
            <w:r>
              <w:rPr>
                <w:rFonts w:ascii="宋体" w:hAnsi="宋体" w:cs="宋体"/>
                <w:kern w:val="0"/>
                <w:sz w:val="24"/>
              </w:rPr>
              <w:t>时</w:t>
            </w:r>
            <w:r>
              <w:rPr>
                <w:rFonts w:ascii="宋体" w:hAnsi="宋体" w:cs="宋体" w:hint="eastAsia"/>
                <w:kern w:val="0"/>
                <w:sz w:val="24"/>
              </w:rPr>
              <w:t xml:space="preserve"> </w:t>
            </w:r>
            <w:r>
              <w:rPr>
                <w:rFonts w:ascii="宋体" w:hAnsi="宋体" w:cs="宋体"/>
                <w:kern w:val="0"/>
                <w:sz w:val="24"/>
              </w:rPr>
              <w:t>间</w:t>
            </w:r>
          </w:p>
        </w:tc>
        <w:tc>
          <w:tcPr>
            <w:tcW w:w="2050" w:type="dxa"/>
            <w:tcBorders>
              <w:top w:val="single" w:sz="4" w:space="0" w:color="000000"/>
              <w:left w:val="nil"/>
              <w:bottom w:val="single" w:sz="4" w:space="0" w:color="000000"/>
              <w:right w:val="single" w:sz="4" w:space="0" w:color="000000"/>
            </w:tcBorders>
          </w:tcPr>
          <w:p w:rsidR="00114979" w:rsidRDefault="00114979" w:rsidP="0020400A">
            <w:pPr>
              <w:widowControl/>
              <w:spacing w:line="360" w:lineRule="auto"/>
              <w:ind w:firstLine="560"/>
              <w:jc w:val="center"/>
              <w:rPr>
                <w:rFonts w:ascii="宋体" w:hAnsi="宋体" w:cs="宋体"/>
                <w:kern w:val="0"/>
                <w:sz w:val="24"/>
              </w:rPr>
            </w:pPr>
            <w:r>
              <w:rPr>
                <w:rFonts w:ascii="宋体" w:hAnsi="宋体" w:cs="宋体" w:hint="eastAsia"/>
                <w:kern w:val="0"/>
                <w:sz w:val="24"/>
              </w:rPr>
              <w:t>2018、12</w:t>
            </w:r>
            <w:r>
              <w:rPr>
                <w:rFonts w:ascii="宋体" w:hAnsi="宋体" w:cs="宋体"/>
                <w:kern w:val="0"/>
                <w:sz w:val="24"/>
              </w:rPr>
              <w:t> </w:t>
            </w:r>
          </w:p>
        </w:tc>
      </w:tr>
      <w:tr w:rsidR="00114979" w:rsidTr="0020400A">
        <w:trPr>
          <w:trHeight w:val="495"/>
          <w:jc w:val="center"/>
        </w:trPr>
        <w:tc>
          <w:tcPr>
            <w:tcW w:w="1896" w:type="dxa"/>
            <w:tcBorders>
              <w:top w:val="nil"/>
              <w:left w:val="single" w:sz="4" w:space="0" w:color="000000"/>
              <w:bottom w:val="single" w:sz="4" w:space="0" w:color="000000"/>
              <w:right w:val="single" w:sz="4" w:space="0" w:color="000000"/>
            </w:tcBorders>
            <w:vAlign w:val="center"/>
          </w:tcPr>
          <w:p w:rsidR="00114979" w:rsidRDefault="00114979" w:rsidP="0020400A">
            <w:pPr>
              <w:widowControl/>
              <w:spacing w:line="360" w:lineRule="auto"/>
              <w:jc w:val="center"/>
              <w:rPr>
                <w:rFonts w:ascii="宋体" w:hAnsi="宋体" w:cs="宋体"/>
                <w:kern w:val="0"/>
                <w:sz w:val="24"/>
              </w:rPr>
            </w:pPr>
            <w:r>
              <w:rPr>
                <w:rFonts w:ascii="宋体" w:hAnsi="宋体" w:cs="宋体"/>
                <w:kern w:val="0"/>
                <w:sz w:val="24"/>
              </w:rPr>
              <w:t>教 师 姓 名</w:t>
            </w:r>
          </w:p>
        </w:tc>
        <w:tc>
          <w:tcPr>
            <w:tcW w:w="2276" w:type="dxa"/>
            <w:tcBorders>
              <w:top w:val="nil"/>
              <w:left w:val="nil"/>
              <w:bottom w:val="single" w:sz="4" w:space="0" w:color="000000"/>
              <w:right w:val="single" w:sz="4" w:space="0" w:color="000000"/>
            </w:tcBorders>
          </w:tcPr>
          <w:p w:rsidR="00114979" w:rsidRDefault="00114979" w:rsidP="0020400A">
            <w:pPr>
              <w:widowControl/>
              <w:spacing w:line="360" w:lineRule="auto"/>
              <w:rPr>
                <w:rFonts w:ascii="宋体" w:hAnsi="宋体" w:cs="宋体" w:hint="eastAsia"/>
                <w:kern w:val="0"/>
                <w:sz w:val="24"/>
              </w:rPr>
            </w:pPr>
            <w:r>
              <w:rPr>
                <w:rFonts w:ascii="宋体" w:hAnsi="宋体" w:cs="宋体" w:hint="eastAsia"/>
                <w:kern w:val="0"/>
                <w:sz w:val="24"/>
              </w:rPr>
              <w:t>顾玉琴</w:t>
            </w:r>
          </w:p>
        </w:tc>
        <w:tc>
          <w:tcPr>
            <w:tcW w:w="2280" w:type="dxa"/>
            <w:tcBorders>
              <w:top w:val="nil"/>
              <w:left w:val="nil"/>
              <w:bottom w:val="single" w:sz="4" w:space="0" w:color="000000"/>
              <w:right w:val="single" w:sz="4" w:space="0" w:color="000000"/>
            </w:tcBorders>
          </w:tcPr>
          <w:p w:rsidR="00114979" w:rsidRDefault="00114979" w:rsidP="0020400A">
            <w:pPr>
              <w:widowControl/>
              <w:spacing w:line="360" w:lineRule="auto"/>
              <w:jc w:val="center"/>
              <w:rPr>
                <w:rFonts w:ascii="宋体" w:hAnsi="宋体" w:cs="宋体"/>
                <w:kern w:val="0"/>
                <w:sz w:val="24"/>
              </w:rPr>
            </w:pPr>
            <w:r>
              <w:rPr>
                <w:rFonts w:ascii="宋体" w:hAnsi="宋体" w:cs="宋体"/>
                <w:kern w:val="0"/>
                <w:sz w:val="24"/>
              </w:rPr>
              <w:t>年</w:t>
            </w:r>
            <w:r>
              <w:rPr>
                <w:rFonts w:ascii="宋体" w:hAnsi="宋体" w:cs="宋体" w:hint="eastAsia"/>
                <w:kern w:val="0"/>
                <w:sz w:val="24"/>
              </w:rPr>
              <w:t xml:space="preserve"> </w:t>
            </w:r>
            <w:r>
              <w:rPr>
                <w:rFonts w:ascii="宋体" w:hAnsi="宋体" w:cs="宋体"/>
                <w:kern w:val="0"/>
                <w:sz w:val="24"/>
              </w:rPr>
              <w:t>段、学</w:t>
            </w:r>
            <w:r>
              <w:rPr>
                <w:rFonts w:ascii="宋体" w:hAnsi="宋体" w:cs="宋体" w:hint="eastAsia"/>
                <w:kern w:val="0"/>
                <w:sz w:val="24"/>
              </w:rPr>
              <w:t xml:space="preserve"> </w:t>
            </w:r>
            <w:r>
              <w:rPr>
                <w:rFonts w:ascii="宋体" w:hAnsi="宋体" w:cs="宋体"/>
                <w:kern w:val="0"/>
                <w:sz w:val="24"/>
              </w:rPr>
              <w:t>科</w:t>
            </w:r>
          </w:p>
        </w:tc>
        <w:tc>
          <w:tcPr>
            <w:tcW w:w="2050" w:type="dxa"/>
            <w:tcBorders>
              <w:top w:val="nil"/>
              <w:left w:val="nil"/>
              <w:bottom w:val="single" w:sz="4" w:space="0" w:color="000000"/>
              <w:right w:val="single" w:sz="4" w:space="0" w:color="000000"/>
            </w:tcBorders>
          </w:tcPr>
          <w:p w:rsidR="00114979" w:rsidRDefault="00114979" w:rsidP="0020400A">
            <w:pPr>
              <w:widowControl/>
              <w:spacing w:line="360" w:lineRule="auto"/>
              <w:ind w:firstLine="560"/>
              <w:jc w:val="center"/>
              <w:rPr>
                <w:rFonts w:ascii="宋体" w:hAnsi="宋体" w:cs="宋体"/>
                <w:kern w:val="0"/>
                <w:sz w:val="24"/>
              </w:rPr>
            </w:pPr>
            <w:r>
              <w:rPr>
                <w:rFonts w:ascii="宋体" w:hAnsi="宋体" w:cs="宋体"/>
                <w:kern w:val="0"/>
                <w:sz w:val="24"/>
              </w:rPr>
              <w:t>二语 </w:t>
            </w:r>
          </w:p>
        </w:tc>
      </w:tr>
      <w:tr w:rsidR="00114979" w:rsidTr="0020400A">
        <w:trPr>
          <w:trHeight w:val="495"/>
          <w:jc w:val="center"/>
        </w:trPr>
        <w:tc>
          <w:tcPr>
            <w:tcW w:w="8502" w:type="dxa"/>
            <w:gridSpan w:val="4"/>
            <w:tcBorders>
              <w:top w:val="nil"/>
              <w:left w:val="single" w:sz="4" w:space="0" w:color="000000"/>
              <w:bottom w:val="single" w:sz="4" w:space="0" w:color="000000"/>
              <w:right w:val="single" w:sz="4" w:space="0" w:color="000000"/>
            </w:tcBorders>
            <w:vAlign w:val="center"/>
          </w:tcPr>
          <w:p w:rsidR="00114979" w:rsidRDefault="00114979" w:rsidP="0020400A">
            <w:pPr>
              <w:widowControl/>
              <w:spacing w:line="360" w:lineRule="auto"/>
              <w:jc w:val="left"/>
              <w:rPr>
                <w:rFonts w:ascii="宋体" w:hAnsi="宋体" w:cs="宋体"/>
                <w:kern w:val="0"/>
                <w:sz w:val="24"/>
              </w:rPr>
            </w:pPr>
            <w:r>
              <w:rPr>
                <w:rFonts w:ascii="宋体" w:hAnsi="宋体" w:cs="宋体"/>
                <w:kern w:val="0"/>
                <w:sz w:val="24"/>
              </w:rPr>
              <w:t>精彩摘录：</w:t>
            </w:r>
          </w:p>
          <w:p w:rsidR="00114979" w:rsidRPr="00E45B72" w:rsidRDefault="00114979" w:rsidP="0020400A">
            <w:pPr>
              <w:widowControl/>
              <w:spacing w:line="360" w:lineRule="auto"/>
              <w:jc w:val="left"/>
              <w:rPr>
                <w:rFonts w:ascii="宋体" w:hAnsi="宋体" w:cs="宋体"/>
                <w:kern w:val="0"/>
                <w:sz w:val="24"/>
              </w:rPr>
            </w:pPr>
            <w:r>
              <w:rPr>
                <w:rFonts w:ascii="宋体" w:hAnsi="宋体" w:cs="宋体"/>
                <w:kern w:val="0"/>
                <w:sz w:val="24"/>
              </w:rPr>
              <w:t> </w:t>
            </w:r>
            <w:r w:rsidR="00E45B72" w:rsidRPr="00E45B72">
              <w:rPr>
                <w:rFonts w:ascii="Arial" w:hAnsi="Arial" w:cs="Arial"/>
                <w:sz w:val="24"/>
              </w:rPr>
              <w:t>一位老师教《狐假虎威》，狐狸蒙住老虎的一段对话是朗读教学的重点，非教不可。老师教得很细致，狐狸眼珠子怎么骨碌一转？怎么扯着嗓子？老虎怎么样一愣？翻来覆去地让学生想象、体会、表演、模仿，就是没有教角色所说的话语怎么朗读。结果折腾了足足</w:t>
            </w:r>
            <w:r w:rsidR="00E45B72" w:rsidRPr="00E45B72">
              <w:rPr>
                <w:rFonts w:ascii="Arial" w:hAnsi="Arial" w:cs="Arial"/>
                <w:sz w:val="24"/>
              </w:rPr>
              <w:t>20</w:t>
            </w:r>
            <w:r w:rsidR="00E45B72" w:rsidRPr="00E45B72">
              <w:rPr>
                <w:rFonts w:ascii="Arial" w:hAnsi="Arial" w:cs="Arial"/>
                <w:sz w:val="24"/>
              </w:rPr>
              <w:t>分钟，依然读不好。究其原因，老师自己也不知道怎么读。我们语文教师普遍缺乏朗读学的专业知识，更缺少朗读的专业训练。以已昏昏，岂能使人昭昭？不补朗读学这一课，朗读教学就没了底气！</w:t>
            </w:r>
            <w:r w:rsidR="00E45B72" w:rsidRPr="00E45B72">
              <w:rPr>
                <w:sz w:val="24"/>
              </w:rPr>
              <w:t xml:space="preserve">  </w:t>
            </w:r>
            <w:r w:rsidR="00E45B72" w:rsidRPr="00E45B72">
              <w:rPr>
                <w:sz w:val="24"/>
              </w:rPr>
              <w:t> </w:t>
            </w:r>
          </w:p>
          <w:p w:rsidR="00114979" w:rsidRDefault="00E45B72" w:rsidP="0020400A">
            <w:pPr>
              <w:widowControl/>
              <w:spacing w:line="360" w:lineRule="auto"/>
              <w:jc w:val="left"/>
              <w:rPr>
                <w:rFonts w:ascii="宋体" w:hAnsi="宋体" w:cs="宋体"/>
                <w:kern w:val="0"/>
                <w:sz w:val="24"/>
              </w:rPr>
            </w:pPr>
            <w:r>
              <w:rPr>
                <w:rFonts w:ascii="宋体" w:hAnsi="宋体" w:cs="宋体"/>
                <w:kern w:val="0"/>
                <w:sz w:val="24"/>
              </w:rPr>
              <w:t> </w:t>
            </w:r>
          </w:p>
        </w:tc>
      </w:tr>
      <w:tr w:rsidR="00114979" w:rsidTr="0020400A">
        <w:trPr>
          <w:trHeight w:val="4448"/>
          <w:jc w:val="center"/>
        </w:trPr>
        <w:tc>
          <w:tcPr>
            <w:tcW w:w="8502" w:type="dxa"/>
            <w:gridSpan w:val="4"/>
            <w:tcBorders>
              <w:top w:val="nil"/>
              <w:left w:val="single" w:sz="4" w:space="0" w:color="000000"/>
              <w:bottom w:val="single" w:sz="4" w:space="0" w:color="000000"/>
              <w:right w:val="single" w:sz="4" w:space="0" w:color="000000"/>
            </w:tcBorders>
          </w:tcPr>
          <w:p w:rsidR="00114979" w:rsidRDefault="00114979" w:rsidP="0020400A">
            <w:pPr>
              <w:widowControl/>
              <w:spacing w:line="360" w:lineRule="auto"/>
              <w:jc w:val="left"/>
              <w:rPr>
                <w:rFonts w:ascii="宋体" w:hAnsi="宋体" w:cs="宋体"/>
                <w:kern w:val="0"/>
                <w:sz w:val="24"/>
              </w:rPr>
            </w:pPr>
            <w:r>
              <w:rPr>
                <w:rFonts w:ascii="宋体" w:hAnsi="宋体" w:cs="宋体"/>
                <w:kern w:val="0"/>
                <w:sz w:val="24"/>
              </w:rPr>
              <w:t>读书感悟：</w:t>
            </w:r>
          </w:p>
          <w:p w:rsidR="00E45B72" w:rsidRPr="00E45B72" w:rsidRDefault="00114979" w:rsidP="00E45B72">
            <w:pPr>
              <w:jc w:val="left"/>
              <w:rPr>
                <w:sz w:val="24"/>
              </w:rPr>
            </w:pPr>
            <w:r>
              <w:rPr>
                <w:rFonts w:ascii="宋体" w:hAnsi="宋体" w:cs="宋体"/>
                <w:kern w:val="0"/>
                <w:sz w:val="24"/>
              </w:rPr>
              <w:t> </w:t>
            </w:r>
            <w:r w:rsidR="00E45B72">
              <w:rPr>
                <w:rFonts w:ascii="宋体" w:hAnsi="宋体" w:cs="宋体" w:hint="eastAsia"/>
                <w:kern w:val="0"/>
                <w:sz w:val="24"/>
              </w:rPr>
              <w:t xml:space="preserve">  </w:t>
            </w:r>
            <w:r w:rsidR="00E45B72" w:rsidRPr="00E45B72">
              <w:rPr>
                <w:rFonts w:hint="eastAsia"/>
                <w:sz w:val="24"/>
              </w:rPr>
              <w:t>是什么让我们没有勇气在课堂上和孩子们一起大声朗读？是什么渐渐遮蔽了我们这颗曾经为妙语佳句醉卧课堂的心？</w:t>
            </w:r>
            <w:r w:rsidR="00E45B72" w:rsidRPr="00E45B72">
              <w:rPr>
                <w:sz w:val="24"/>
              </w:rPr>
              <w:t>    </w:t>
            </w:r>
          </w:p>
          <w:p w:rsidR="00E45B72" w:rsidRPr="00E45B72" w:rsidRDefault="00E45B72" w:rsidP="00E45B72">
            <w:pPr>
              <w:ind w:firstLineChars="200" w:firstLine="480"/>
              <w:jc w:val="left"/>
              <w:rPr>
                <w:sz w:val="24"/>
              </w:rPr>
            </w:pPr>
            <w:r w:rsidRPr="00E45B72">
              <w:rPr>
                <w:rFonts w:hint="eastAsia"/>
                <w:sz w:val="24"/>
              </w:rPr>
              <w:t>自古以来，素来推崇读书要大声朗读。清代姚鼐言曾说“放声疾读，久之自悟。”近代曾国藩说，“非高声朗读则不能得其雄伟大概，非密咏</w:t>
            </w:r>
            <w:proofErr w:type="gramStart"/>
            <w:r w:rsidRPr="00E45B72">
              <w:rPr>
                <w:rFonts w:hint="eastAsia"/>
                <w:sz w:val="24"/>
              </w:rPr>
              <w:t>恬吟则</w:t>
            </w:r>
            <w:proofErr w:type="gramEnd"/>
            <w:r w:rsidRPr="00E45B72">
              <w:rPr>
                <w:rFonts w:hint="eastAsia"/>
                <w:sz w:val="24"/>
              </w:rPr>
              <w:t>不能探其深远之趣</w:t>
            </w:r>
            <w:r w:rsidRPr="00E45B72">
              <w:rPr>
                <w:sz w:val="24"/>
              </w:rPr>
              <w:t>”</w:t>
            </w:r>
            <w:r w:rsidRPr="00E45B72">
              <w:rPr>
                <w:rFonts w:hint="eastAsia"/>
                <w:sz w:val="24"/>
              </w:rPr>
              <w:t>。大声朗读实在是有很多的好处：</w:t>
            </w:r>
          </w:p>
          <w:p w:rsidR="00E45B72" w:rsidRPr="00E45B72" w:rsidRDefault="00E45B72" w:rsidP="00E45B72">
            <w:pPr>
              <w:ind w:firstLineChars="200" w:firstLine="480"/>
              <w:jc w:val="left"/>
              <w:rPr>
                <w:sz w:val="24"/>
              </w:rPr>
            </w:pPr>
            <w:r w:rsidRPr="00E45B72">
              <w:rPr>
                <w:rFonts w:hint="eastAsia"/>
                <w:sz w:val="24"/>
              </w:rPr>
              <w:t>首先：大声朗读文章可以将冰冷的没有生气的文字变成优美绝伦的动感的声音，</w:t>
            </w:r>
            <w:r w:rsidRPr="00E45B72">
              <w:rPr>
                <w:sz w:val="24"/>
              </w:rPr>
              <w:t> </w:t>
            </w:r>
            <w:r w:rsidRPr="00E45B72">
              <w:rPr>
                <w:rFonts w:hint="eastAsia"/>
                <w:sz w:val="24"/>
              </w:rPr>
              <w:t>在大声朗读中体会文章的情感美，层次美和诗性美，感受作者美的灵感，大声的朗读，能将这种美还原。</w:t>
            </w:r>
            <w:r w:rsidRPr="00E45B72">
              <w:rPr>
                <w:sz w:val="24"/>
              </w:rPr>
              <w:t>    </w:t>
            </w:r>
          </w:p>
          <w:p w:rsidR="00E45B72" w:rsidRPr="00E45B72" w:rsidRDefault="00E45B72" w:rsidP="00E45B72">
            <w:pPr>
              <w:ind w:firstLineChars="200" w:firstLine="480"/>
              <w:jc w:val="left"/>
              <w:rPr>
                <w:sz w:val="24"/>
              </w:rPr>
            </w:pPr>
            <w:r w:rsidRPr="00E45B72">
              <w:rPr>
                <w:rFonts w:hint="eastAsia"/>
                <w:sz w:val="24"/>
              </w:rPr>
              <w:t>其次，健康学家们认为：朗诵有如歌唱，有增强肺功能之效；朗诵注重集体配合，因而活跃了社交生活，对心理健康自然有益处；朗诵可帮助朗诵者，回忆美好时光，带来精神的愉悦，不言而喻；朗诵还是一种“思维体操”，有助于帮助人们减缓记忆衰退。无论你是初登讲台，还是从教多年，试着朗读吧，在朗读中，乘李白的仙</w:t>
            </w:r>
            <w:proofErr w:type="gramStart"/>
            <w:r w:rsidRPr="00E45B72">
              <w:rPr>
                <w:rFonts w:hint="eastAsia"/>
                <w:sz w:val="24"/>
              </w:rPr>
              <w:t>屐</w:t>
            </w:r>
            <w:proofErr w:type="gramEnd"/>
            <w:r w:rsidRPr="00E45B72">
              <w:rPr>
                <w:rFonts w:hint="eastAsia"/>
                <w:sz w:val="24"/>
              </w:rPr>
              <w:t>托月抚云，随苏轼</w:t>
            </w:r>
            <w:proofErr w:type="gramStart"/>
            <w:r w:rsidRPr="00E45B72">
              <w:rPr>
                <w:rFonts w:hint="eastAsia"/>
                <w:sz w:val="24"/>
              </w:rPr>
              <w:t>匏樽</w:t>
            </w:r>
            <w:proofErr w:type="gramEnd"/>
            <w:r w:rsidRPr="00E45B72">
              <w:rPr>
                <w:rFonts w:hint="eastAsia"/>
                <w:sz w:val="24"/>
              </w:rPr>
              <w:t>江</w:t>
            </w:r>
            <w:proofErr w:type="gramStart"/>
            <w:r w:rsidRPr="00E45B72">
              <w:rPr>
                <w:rFonts w:hint="eastAsia"/>
                <w:sz w:val="24"/>
              </w:rPr>
              <w:t>渚</w:t>
            </w:r>
            <w:proofErr w:type="gramEnd"/>
            <w:r w:rsidRPr="00E45B72">
              <w:rPr>
                <w:rFonts w:hint="eastAsia"/>
                <w:sz w:val="24"/>
              </w:rPr>
              <w:t>，“不知东方之既白”。在朗读中，感受陶潜“采菊东篱下，悠然见南山”的田园情怀，体会“父亲”坐在台阶上沉默不语时，我眼神里的忧伤，在朗读中，遇见朱自清笔下活泼柔美风筝满天的春天。</w:t>
            </w:r>
            <w:r w:rsidRPr="00E45B72">
              <w:rPr>
                <w:sz w:val="24"/>
              </w:rPr>
              <w:t>    </w:t>
            </w:r>
          </w:p>
          <w:p w:rsidR="00E45B72" w:rsidRPr="00E45B72" w:rsidRDefault="00E45B72" w:rsidP="00E45B72">
            <w:pPr>
              <w:ind w:firstLineChars="200" w:firstLine="480"/>
              <w:jc w:val="left"/>
              <w:rPr>
                <w:sz w:val="24"/>
              </w:rPr>
            </w:pPr>
            <w:r w:rsidRPr="00E45B72">
              <w:rPr>
                <w:rFonts w:hint="eastAsia"/>
                <w:sz w:val="24"/>
              </w:rPr>
              <w:t>唯有敢于朗读的语文课堂才拥有亘古不变的魅力，唯有敢于朗读的语文教师才是真正拥有教学自信和教学自尊的语文教师。</w:t>
            </w:r>
          </w:p>
          <w:p w:rsidR="00114979" w:rsidRPr="00E45B72" w:rsidRDefault="00114979" w:rsidP="0020400A">
            <w:pPr>
              <w:widowControl/>
              <w:spacing w:line="360" w:lineRule="auto"/>
              <w:jc w:val="left"/>
              <w:rPr>
                <w:rFonts w:ascii="宋体" w:hAnsi="宋体" w:cs="宋体"/>
                <w:kern w:val="0"/>
                <w:sz w:val="24"/>
              </w:rPr>
            </w:pPr>
          </w:p>
          <w:p w:rsidR="00114979" w:rsidRDefault="00114979" w:rsidP="0020400A">
            <w:pPr>
              <w:widowControl/>
              <w:spacing w:line="360" w:lineRule="auto"/>
              <w:jc w:val="left"/>
              <w:rPr>
                <w:rFonts w:ascii="宋体" w:hAnsi="宋体" w:cs="宋体"/>
                <w:kern w:val="0"/>
                <w:sz w:val="24"/>
              </w:rPr>
            </w:pPr>
            <w:r>
              <w:rPr>
                <w:rFonts w:ascii="宋体" w:hAnsi="宋体" w:cs="宋体"/>
                <w:kern w:val="0"/>
                <w:sz w:val="24"/>
              </w:rPr>
              <w:t> </w:t>
            </w:r>
          </w:p>
          <w:p w:rsidR="00114979" w:rsidRDefault="00114979" w:rsidP="0020400A">
            <w:pPr>
              <w:widowControl/>
              <w:spacing w:line="360" w:lineRule="auto"/>
              <w:jc w:val="left"/>
              <w:rPr>
                <w:rFonts w:ascii="宋体" w:hAnsi="宋体" w:cs="宋体"/>
                <w:kern w:val="0"/>
                <w:sz w:val="24"/>
              </w:rPr>
            </w:pPr>
            <w:r>
              <w:rPr>
                <w:rFonts w:ascii="宋体" w:hAnsi="宋体" w:cs="宋体"/>
                <w:kern w:val="0"/>
                <w:sz w:val="24"/>
              </w:rPr>
              <w:t> </w:t>
            </w:r>
          </w:p>
          <w:p w:rsidR="00114979" w:rsidRDefault="00114979" w:rsidP="0020400A">
            <w:pPr>
              <w:widowControl/>
              <w:spacing w:line="360" w:lineRule="auto"/>
              <w:jc w:val="left"/>
              <w:rPr>
                <w:rFonts w:ascii="宋体" w:hAnsi="宋体" w:cs="宋体"/>
                <w:kern w:val="0"/>
                <w:sz w:val="24"/>
              </w:rPr>
            </w:pPr>
            <w:r>
              <w:rPr>
                <w:rFonts w:ascii="宋体" w:hAnsi="宋体" w:cs="宋体"/>
                <w:kern w:val="0"/>
                <w:sz w:val="24"/>
              </w:rPr>
              <w:t> </w:t>
            </w:r>
          </w:p>
          <w:p w:rsidR="00114979" w:rsidRDefault="00114979" w:rsidP="0020400A">
            <w:pPr>
              <w:widowControl/>
              <w:spacing w:line="360" w:lineRule="auto"/>
              <w:jc w:val="left"/>
              <w:rPr>
                <w:rFonts w:ascii="宋体" w:hAnsi="宋体" w:cs="宋体"/>
                <w:kern w:val="0"/>
                <w:sz w:val="24"/>
              </w:rPr>
            </w:pPr>
            <w:r>
              <w:rPr>
                <w:rFonts w:ascii="宋体" w:hAnsi="宋体" w:cs="宋体"/>
                <w:kern w:val="0"/>
                <w:sz w:val="24"/>
              </w:rPr>
              <w:lastRenderedPageBreak/>
              <w:t> </w:t>
            </w:r>
          </w:p>
          <w:p w:rsidR="00114979" w:rsidRDefault="00114979" w:rsidP="0020400A">
            <w:pPr>
              <w:widowControl/>
              <w:spacing w:line="360" w:lineRule="auto"/>
              <w:jc w:val="left"/>
              <w:rPr>
                <w:rFonts w:ascii="宋体" w:hAnsi="宋体" w:cs="宋体"/>
                <w:kern w:val="0"/>
                <w:sz w:val="24"/>
              </w:rPr>
            </w:pPr>
            <w:r>
              <w:rPr>
                <w:rFonts w:ascii="宋体" w:hAnsi="宋体" w:cs="宋体"/>
                <w:kern w:val="0"/>
                <w:sz w:val="24"/>
              </w:rPr>
              <w:t> </w:t>
            </w:r>
          </w:p>
          <w:p w:rsidR="00114979" w:rsidRDefault="00114979" w:rsidP="0020400A">
            <w:pPr>
              <w:widowControl/>
              <w:spacing w:line="360" w:lineRule="auto"/>
              <w:jc w:val="left"/>
              <w:rPr>
                <w:rFonts w:ascii="宋体" w:hAnsi="宋体" w:cs="宋体"/>
                <w:kern w:val="0"/>
                <w:sz w:val="24"/>
              </w:rPr>
            </w:pPr>
            <w:r>
              <w:rPr>
                <w:rFonts w:ascii="宋体" w:hAnsi="宋体" w:cs="宋体"/>
                <w:kern w:val="0"/>
                <w:sz w:val="24"/>
              </w:rPr>
              <w:t> </w:t>
            </w:r>
          </w:p>
          <w:p w:rsidR="00114979" w:rsidRDefault="00114979" w:rsidP="0020400A">
            <w:pPr>
              <w:widowControl/>
              <w:spacing w:line="360" w:lineRule="auto"/>
              <w:jc w:val="left"/>
              <w:rPr>
                <w:rFonts w:ascii="宋体" w:hAnsi="宋体" w:cs="宋体"/>
                <w:kern w:val="0"/>
                <w:sz w:val="24"/>
              </w:rPr>
            </w:pPr>
            <w:r>
              <w:rPr>
                <w:rFonts w:ascii="宋体" w:hAnsi="宋体" w:cs="宋体"/>
                <w:kern w:val="0"/>
                <w:sz w:val="24"/>
              </w:rPr>
              <w:t> </w:t>
            </w:r>
          </w:p>
          <w:p w:rsidR="00114979" w:rsidRDefault="00114979" w:rsidP="0020400A">
            <w:pPr>
              <w:widowControl/>
              <w:spacing w:line="360" w:lineRule="auto"/>
              <w:jc w:val="left"/>
              <w:rPr>
                <w:rFonts w:ascii="宋体" w:hAnsi="宋体" w:cs="宋体" w:hint="eastAsia"/>
                <w:kern w:val="0"/>
                <w:sz w:val="24"/>
              </w:rPr>
            </w:pPr>
            <w:r>
              <w:rPr>
                <w:rFonts w:ascii="宋体" w:hAnsi="宋体" w:cs="宋体"/>
                <w:kern w:val="0"/>
                <w:sz w:val="24"/>
              </w:rPr>
              <w:t> </w:t>
            </w:r>
          </w:p>
        </w:tc>
      </w:tr>
    </w:tbl>
    <w:p w:rsidR="00114979" w:rsidRDefault="00114979" w:rsidP="00114979">
      <w:pPr>
        <w:rPr>
          <w:rFonts w:hint="eastAsia"/>
          <w:color w:val="FF0000"/>
        </w:rPr>
      </w:pPr>
    </w:p>
    <w:p w:rsidR="0052557C" w:rsidRDefault="0052557C"/>
    <w:sectPr w:rsidR="0052557C">
      <w:headerReference w:type="default" r:id="rId4"/>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75E" w:rsidRDefault="00E45B72">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4979"/>
    <w:rsid w:val="00114979"/>
    <w:rsid w:val="0052557C"/>
    <w:rsid w:val="00E45B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9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149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1497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2018-12-12T06:32:00Z</dcterms:created>
  <dcterms:modified xsi:type="dcterms:W3CDTF">2018-12-12T06:37:00Z</dcterms:modified>
</cp:coreProperties>
</file>