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五年级第</w:t>
      </w:r>
      <w:r>
        <w:rPr>
          <w:rFonts w:ascii="黑体" w:hAnsi="黑体" w:eastAsia="黑体"/>
          <w:sz w:val="32"/>
          <w:szCs w:val="32"/>
          <w:u w:val="single"/>
        </w:rPr>
        <w:t>　15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四  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  <w:r>
              <w:rPr>
                <w:rFonts w:ascii="宋体" w:hAnsi="宋体" w:eastAsia="宋体"/>
                <w:sz w:val="28"/>
                <w:szCs w:val="28"/>
                <w:shd w:val="clear"/>
              </w:rPr>
              <w:t>1第25课词语两遍，看书。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数：阅读小数报12周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王赛男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shd w:val="clear"/>
              </w:rPr>
              <w:t>1第25课词语两遍，看书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sz w:val="28"/>
                <w:szCs w:val="28"/>
              </w:rPr>
              <w:t>阅读小数报12周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周建芬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语：1第25课词语两遍，看书。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数：阅读小数报12周内容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做练习册，文化板块进行归类整理。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黄小红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语：1第25课词语两遍，看书。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数：阅读小数报12周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</w:t>
            </w:r>
            <w:r>
              <w:rPr>
                <w:rFonts w:ascii="宋体" w:hAnsi="宋体" w:eastAsia="宋体"/>
                <w:sz w:val="24"/>
                <w:szCs w:val="24"/>
              </w:rPr>
              <w:t>：1、听读U6CT板块三遍，家长签字；2、U6CT词组3+1，1排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孙燕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语：1、第25课词语3遍。复习第24、25课，预习第26课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数：阅读小数报12周内容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顾艳琪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刘惠丽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语：默写第23、24课的词语，读课外书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数：阅读小数报12周内容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蔡佳乐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刘慧丽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语：默写第23、24课的词语，读课外书数：回家阅读小数报12周内容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1、听读U6CT板块三遍，家长签字；2、U6CT词组3+1，1排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  燕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8班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