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17" w:tblpY="288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463"/>
        <w:gridCol w:w="103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632" w:firstLineChars="300"/>
              <w:rPr>
                <w:rFonts w:hint="eastAsia" w:eastAsiaTheme="minorEastAsia"/>
                <w:b/>
                <w:bCs/>
                <w:vertAlign w:val="baseline"/>
                <w:lang w:val="en-US" w:eastAsia="zh-CN"/>
              </w:rPr>
            </w:pPr>
            <w:r>
              <w:rPr>
                <w:rFonts w:hint="eastAsia"/>
                <w:b/>
                <w:bCs/>
                <w:vertAlign w:val="baseline"/>
                <w:lang w:val="en-US" w:eastAsia="zh-CN"/>
              </w:rPr>
              <w:t>姓  名</w:t>
            </w:r>
          </w:p>
        </w:tc>
        <w:tc>
          <w:tcPr>
            <w:tcW w:w="2463" w:type="dxa"/>
          </w:tcPr>
          <w:p>
            <w:pPr>
              <w:rPr>
                <w:rFonts w:hint="eastAsia" w:eastAsiaTheme="minorEastAsia"/>
                <w:vertAlign w:val="baseline"/>
                <w:lang w:val="en-US" w:eastAsia="zh-CN"/>
              </w:rPr>
            </w:pPr>
            <w:r>
              <w:rPr>
                <w:rFonts w:hint="eastAsia"/>
                <w:vertAlign w:val="baseline"/>
                <w:lang w:val="en-US" w:eastAsia="zh-CN"/>
              </w:rPr>
              <w:t>宋冬兰</w:t>
            </w:r>
          </w:p>
        </w:tc>
        <w:tc>
          <w:tcPr>
            <w:tcW w:w="1037" w:type="dxa"/>
          </w:tcPr>
          <w:p>
            <w:pPr>
              <w:ind w:firstLine="211" w:firstLineChars="100"/>
              <w:rPr>
                <w:rFonts w:hint="eastAsia" w:eastAsiaTheme="minorEastAsia"/>
                <w:vertAlign w:val="baseline"/>
                <w:lang w:val="en-US" w:eastAsia="zh-CN"/>
              </w:rPr>
            </w:pPr>
            <w:r>
              <w:rPr>
                <w:rFonts w:hint="eastAsia"/>
                <w:b/>
                <w:bCs/>
                <w:vertAlign w:val="baseline"/>
                <w:lang w:val="en-US" w:eastAsia="zh-CN"/>
              </w:rPr>
              <w:t>年 级</w:t>
            </w:r>
          </w:p>
        </w:tc>
        <w:tc>
          <w:tcPr>
            <w:tcW w:w="2540" w:type="dxa"/>
          </w:tcPr>
          <w:p>
            <w:pPr>
              <w:rPr>
                <w:rFonts w:hint="eastAsia" w:eastAsiaTheme="minorEastAsia"/>
                <w:vertAlign w:val="baseline"/>
                <w:lang w:val="en-US" w:eastAsia="zh-CN"/>
              </w:rPr>
            </w:pPr>
            <w:r>
              <w:rPr>
                <w:rFonts w:hint="eastAsia"/>
                <w:vertAlign w:val="baseline"/>
                <w:lang w:val="en-US" w:eastAsia="zh-CN"/>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422" w:firstLineChars="200"/>
              <w:rPr>
                <w:rFonts w:hint="eastAsia" w:eastAsiaTheme="minorEastAsia"/>
                <w:b/>
                <w:bCs/>
                <w:vertAlign w:val="baseline"/>
                <w:lang w:val="en-US" w:eastAsia="zh-CN"/>
              </w:rPr>
            </w:pPr>
            <w:r>
              <w:rPr>
                <w:rFonts w:hint="eastAsia"/>
                <w:b/>
                <w:bCs/>
                <w:vertAlign w:val="baseline"/>
                <w:lang w:val="en-US" w:eastAsia="zh-CN"/>
              </w:rPr>
              <w:t>学习摘要</w:t>
            </w:r>
          </w:p>
        </w:tc>
        <w:tc>
          <w:tcPr>
            <w:tcW w:w="6040" w:type="dxa"/>
            <w:gridSpan w:val="3"/>
          </w:tcPr>
          <w:p>
            <w:pPr>
              <w:rPr>
                <w:rFonts w:hint="eastAsia" w:eastAsiaTheme="minorEastAsia"/>
                <w:vertAlign w:val="baseline"/>
                <w:lang w:val="en-US" w:eastAsia="zh-CN"/>
              </w:rPr>
            </w:pPr>
            <w:r>
              <w:rPr>
                <w:rFonts w:hint="eastAsia"/>
                <w:vertAlign w:val="baseline"/>
                <w:lang w:val="en-US" w:eastAsia="zh-CN"/>
              </w:rPr>
              <w:t xml:space="preserve">                 </w:t>
            </w:r>
            <w:r>
              <w:rPr>
                <w:rFonts w:hint="eastAsia"/>
                <w:b/>
                <w:bCs/>
                <w:vertAlign w:val="baseline"/>
                <w:lang w:val="en-US" w:eastAsia="zh-CN"/>
              </w:rPr>
              <w:t>学   习   心   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5" w:hRule="atLeast"/>
        </w:trPr>
        <w:tc>
          <w:tcPr>
            <w:tcW w:w="2482" w:type="dxa"/>
          </w:tcPr>
          <w:p>
            <w:pPr>
              <w:pStyle w:val="2"/>
              <w:keepNext w:val="0"/>
              <w:keepLines w:val="0"/>
              <w:widowControl/>
              <w:suppressLineNumbers w:val="0"/>
              <w:rPr>
                <w:sz w:val="21"/>
                <w:szCs w:val="21"/>
              </w:rPr>
            </w:pPr>
            <w:r>
              <w:rPr>
                <w:rStyle w:val="4"/>
                <w:sz w:val="21"/>
                <w:szCs w:val="21"/>
              </w:rPr>
              <w:t>巧用多媒体提升小学数学几何图形数学</w:t>
            </w:r>
            <w:r>
              <w:rPr>
                <w:sz w:val="21"/>
                <w:szCs w:val="21"/>
              </w:rPr>
              <w:br w:type="textWrapping"/>
            </w:r>
            <w:r>
              <w:rPr>
                <w:rFonts w:hint="eastAsia"/>
                <w:sz w:val="21"/>
                <w:szCs w:val="21"/>
                <w:lang w:val="en-US" w:eastAsia="zh-CN"/>
              </w:rPr>
              <w:t xml:space="preserve">   </w:t>
            </w:r>
            <w:r>
              <w:rPr>
                <w:sz w:val="21"/>
                <w:szCs w:val="21"/>
              </w:rPr>
              <w:t>为了让学生明白圆柱体侧面长方形的长与底面周长的关系，我们可以把课堂内容设计成</w:t>
            </w:r>
            <w:r>
              <w:rPr>
                <w:sz w:val="21"/>
                <w:szCs w:val="21"/>
              </w:rPr>
              <w:fldChar w:fldCharType="begin"/>
            </w:r>
            <w:r>
              <w:rPr>
                <w:sz w:val="21"/>
                <w:szCs w:val="21"/>
              </w:rPr>
              <w:instrText xml:space="preserve"> HYPERLINK "http://www.qinxue365.com/animation/" \t "http://www.qinxue365.com/fangfa/_blank" </w:instrText>
            </w:r>
            <w:r>
              <w:rPr>
                <w:sz w:val="21"/>
                <w:szCs w:val="21"/>
              </w:rPr>
              <w:fldChar w:fldCharType="separate"/>
            </w:r>
            <w:r>
              <w:rPr>
                <w:rStyle w:val="5"/>
                <w:sz w:val="21"/>
                <w:szCs w:val="21"/>
                <w:u w:val="single"/>
              </w:rPr>
              <w:t>动画</w:t>
            </w:r>
            <w:r>
              <w:rPr>
                <w:sz w:val="21"/>
                <w:szCs w:val="21"/>
              </w:rPr>
              <w:fldChar w:fldCharType="end"/>
            </w:r>
            <w:r>
              <w:rPr>
                <w:sz w:val="21"/>
                <w:szCs w:val="21"/>
              </w:rPr>
              <w:t>形式，或者把静态的知识通过视频、图像等演示给学生，像学习《圆柱侧面积》的知识时，可以将一个与圆柱体底面等大圆放在侧面长方形长的左端点上，用红色突出显示重合的一点，让圆沿着长方形的长滚动，圆上的红点正好与长方形长的右端点重合，直观巧妙地说明圆的周长恰好与侧面长方形的长相等。这样不但直观，而且生动有趣，学生好像在观看动画一样趣味盎然，同时学会了知识，并且印象深刻。</w:t>
            </w:r>
          </w:p>
          <w:p>
            <w:pPr>
              <w:rPr>
                <w:sz w:val="21"/>
                <w:szCs w:val="21"/>
                <w:vertAlign w:val="baseline"/>
              </w:rPr>
            </w:pPr>
          </w:p>
        </w:tc>
        <w:tc>
          <w:tcPr>
            <w:tcW w:w="6040" w:type="dxa"/>
            <w:gridSpan w:val="3"/>
          </w:tcPr>
          <w:p>
            <w:pPr>
              <w:rPr>
                <w:sz w:val="21"/>
                <w:szCs w:val="21"/>
                <w:vertAlign w:val="baseline"/>
              </w:rPr>
            </w:pPr>
            <w:r>
              <w:rPr>
                <w:sz w:val="21"/>
                <w:szCs w:val="21"/>
              </w:rPr>
              <w:t>变静为动，使教学过程更生动。我们利用身边的实物进行教学确实能拉近学生与知识间的距离，但还不能保证学生的注意力、兴趣一直持续下去，因为小学的孩子，注意力的保持是有一定的限度的，除非你能一直吸引住他。这时，我们就可以利用多媒体的功能，使静的课堂活动起来，把学生的兴趣调动起来，使课堂气氛活跃起来，让学生的精神亢奋起来，这样才能紧紧地吸住学生的目光，实现我们的教学目标。信息技术的使用，恰恰给我们提供了这样的平台，使课堂动态化，吸引学生的注意力。</w:t>
            </w:r>
            <w:r>
              <w:rPr>
                <w:sz w:val="21"/>
                <w:szCs w:val="21"/>
              </w:rPr>
              <w:br w:type="textWrapping"/>
            </w:r>
            <w:r>
              <w:rPr>
                <w:sz w:val="21"/>
                <w:szCs w:val="21"/>
              </w:rPr>
              <w:t> </w:t>
            </w:r>
            <w:r>
              <w:rPr>
                <w:rFonts w:hint="eastAsia"/>
                <w:sz w:val="21"/>
                <w:szCs w:val="21"/>
                <w:lang w:val="en-US" w:eastAsia="zh-CN"/>
              </w:rPr>
              <w:t xml:space="preserve">   </w:t>
            </w:r>
            <w:r>
              <w:rPr>
                <w:sz w:val="21"/>
                <w:szCs w:val="21"/>
              </w:rPr>
              <w:t>而多媒体教学式的教学程序动态化、直观化，那些抽象的概念、公式、图形都可以生动、直观的演示出来，变成可以看得见、摸得着的内容了，学生就会觉得简单多了，容易理解多了，难度系数大大降低，学生能够学会了，你说学生还能不愿意学吗</w:t>
            </w:r>
            <w:r>
              <w:rPr>
                <w:sz w:val="21"/>
                <w:szCs w:val="21"/>
              </w:rPr>
              <w:br w:type="textWrapping"/>
            </w:r>
            <w:r>
              <w:rPr>
                <w:rFonts w:hint="eastAsia"/>
                <w:sz w:val="21"/>
                <w:szCs w:val="21"/>
                <w:lang w:val="en-US" w:eastAsia="zh-CN"/>
              </w:rPr>
              <w:t xml:space="preserve">   </w:t>
            </w:r>
            <w:r>
              <w:rPr>
                <w:sz w:val="21"/>
                <w:szCs w:val="21"/>
              </w:rPr>
              <w:t>小学生在思维方面，多是表现为形象思维以及直观思维，因此，教师在几何图形的教学期间，借助一些直观的</w:t>
            </w:r>
            <w:r>
              <w:rPr>
                <w:rFonts w:hint="eastAsia"/>
                <w:sz w:val="21"/>
                <w:szCs w:val="21"/>
                <w:lang w:val="en-US" w:eastAsia="zh-CN"/>
              </w:rPr>
              <w:t>演示</w:t>
            </w:r>
            <w:r>
              <w:rPr>
                <w:sz w:val="21"/>
                <w:szCs w:val="21"/>
              </w:rPr>
              <w:t>，对学生理解几何图形的概念可起到一定的帮助。以“长方体”的教学为例，在教学期间教我对一些相关的道具加以利用，首先，在教学期间为学生准备相应的几何图形直观感知材料，使学生通过材料直接取得几何图像的表象。其次，适当对形成表象采取加工处理，为学生建立起表象。在教学的过程中，教师可引导学生通过想象来描写直观材料所具有的特征。在建立起几何图形的表象后，将会为学生在今后的几何学习与解题中提供很大的帮助。在实践操作的过程中，教师可借由长方体的模型让学生直接观察到长方体在面与面之间的特征，接着，由此引出正方体中的“棱”，进而通过“棱”将“顶点”引出。通过模型，学生可更快速地理解长方体的概念。</w:t>
            </w:r>
            <w:r>
              <w:rPr>
                <w:sz w:val="21"/>
                <w:szCs w:val="21"/>
              </w:rPr>
              <w:br w:type="textWrapping"/>
            </w:r>
            <w:r>
              <w:rPr>
                <w:sz w:val="21"/>
                <w:szCs w:val="21"/>
              </w:rPr>
              <w:t>《数学课程标准》指出：动手操作、自主探索与合作交流是学生学习的重要方式。在教学时，几何图形概念如果只借助看、听、说等方法肯定是不够的，学生也难以理解它的本质属性。因此，我们应当遵循学生的认知规律，结合实例，并联系学生已有知识经验，然后采用直观操作等实践活动的形式，以帮助学生理解概念。如：教材中的“体积”是一个很抽象的概念。首先，“空间”是看不见、摸不着的，学生不易理解;其次，“物体”如何“占空间”，学生难以想象。因此，教师在教学时必须通过直观操作，促进学生理解概念。因此，教师在教学时必须通过直观操作，促进学生理解概念。我在教学“体积”概念的片段：第一步，播放“乌鸦喝水”课件，让学生感受乌鸦的“数学智慧”。第二步，实验――让“看不见”的空间“看得见”</w:t>
            </w:r>
            <w:r>
              <w:rPr>
                <w:rFonts w:hint="eastAsia"/>
                <w:sz w:val="21"/>
                <w:szCs w:val="21"/>
                <w:lang w:eastAsia="zh-CN"/>
              </w:rPr>
              <w:t>。</w:t>
            </w:r>
          </w:p>
        </w:tc>
      </w:tr>
    </w:tbl>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课题研究</w:t>
      </w:r>
    </w:p>
    <w:p>
      <w:pPr>
        <w:jc w:val="center"/>
        <w:rPr>
          <w:rFonts w:hint="eastAsia"/>
          <w:b/>
          <w:bCs/>
          <w:sz w:val="24"/>
          <w:szCs w:val="24"/>
          <w:lang w:val="en-US" w:eastAsia="zh-CN"/>
        </w:rPr>
      </w:pPr>
      <w:r>
        <w:rPr>
          <w:rFonts w:hint="eastAsia"/>
          <w:b/>
          <w:bCs/>
          <w:sz w:val="24"/>
          <w:szCs w:val="24"/>
          <w:lang w:val="en-US" w:eastAsia="zh-CN"/>
        </w:rPr>
        <w:t>朝   阳  桥  小  学</w:t>
      </w:r>
    </w:p>
    <w:p>
      <w:pPr>
        <w:jc w:val="center"/>
        <w:rPr>
          <w:rFonts w:hint="eastAsia"/>
          <w:b/>
          <w:bCs/>
          <w:sz w:val="24"/>
          <w:szCs w:val="24"/>
          <w:lang w:val="en-US" w:eastAsia="zh-CN"/>
        </w:rPr>
      </w:pPr>
    </w:p>
    <w:p>
      <w:pPr>
        <w:ind w:firstLine="482" w:firstLineChars="200"/>
        <w:rPr>
          <w:rFonts w:hint="eastAsia"/>
          <w:b/>
          <w:bCs/>
          <w:sz w:val="21"/>
          <w:szCs w:val="21"/>
          <w:lang w:val="en-US" w:eastAsia="zh-CN"/>
        </w:rPr>
      </w:pPr>
      <w:r>
        <w:rPr>
          <w:rFonts w:hint="eastAsia"/>
          <w:b/>
          <w:bCs/>
          <w:sz w:val="24"/>
          <w:szCs w:val="24"/>
          <w:lang w:val="en-US" w:eastAsia="zh-CN"/>
        </w:rPr>
        <w:t>“基于结构教学的小学生空间想象能力的案例研究”理论学习笔记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4CF6"/>
    <w:rsid w:val="0C7553DD"/>
    <w:rsid w:val="0CE10D32"/>
    <w:rsid w:val="195469B7"/>
    <w:rsid w:val="1A6B24F8"/>
    <w:rsid w:val="46BD68C4"/>
    <w:rsid w:val="49351562"/>
    <w:rsid w:val="616B41FC"/>
    <w:rsid w:val="66B77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jm</cp:lastModifiedBy>
  <dcterms:modified xsi:type="dcterms:W3CDTF">2018-12-13T01:42:00Z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