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</w:rPr>
        <w:t>关于召开常州市小学数学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实验教学研讨活动</w:t>
      </w:r>
    </w:p>
    <w:p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暨陈美华名教师工作室研讨活动</w:t>
      </w:r>
      <w:r>
        <w:rPr>
          <w:rFonts w:hint="eastAsia" w:ascii="黑体" w:hAnsi="黑体" w:eastAsia="黑体"/>
          <w:b/>
          <w:sz w:val="30"/>
          <w:szCs w:val="30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left"/>
        <w:textAlignment w:val="auto"/>
        <w:outlineLvl w:val="9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各辖市（区）教研室（教师发展中心）：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left"/>
        <w:textAlignment w:val="auto"/>
        <w:outlineLvl w:val="9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eastAsia="zh-CN"/>
        </w:rPr>
        <w:t>为深化常州市小学数学实验教学研究工作</w:t>
      </w:r>
      <w:r>
        <w:rPr>
          <w:rFonts w:hint="eastAsia" w:asciiTheme="minorEastAsia" w:hAnsiTheme="minorEastAsia"/>
          <w:sz w:val="24"/>
        </w:rPr>
        <w:t>，现定于1月</w:t>
      </w:r>
      <w:r>
        <w:rPr>
          <w:rFonts w:hint="eastAsia" w:asciiTheme="minorEastAsia" w:hAnsi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/>
          <w:sz w:val="24"/>
        </w:rPr>
        <w:t>日召开</w:t>
      </w:r>
      <w:r>
        <w:rPr>
          <w:rFonts w:hint="eastAsia" w:asciiTheme="minorEastAsia" w:hAnsiTheme="minorEastAsia"/>
          <w:sz w:val="24"/>
          <w:lang w:eastAsia="zh-CN"/>
        </w:rPr>
        <w:t>常州市小学数学实验教学研讨活动</w:t>
      </w:r>
      <w:r>
        <w:rPr>
          <w:rFonts w:hint="eastAsia" w:asciiTheme="minorEastAsia" w:hAnsiTheme="minorEastAsia"/>
          <w:sz w:val="24"/>
          <w:lang w:val="en-US" w:eastAsia="zh-CN"/>
        </w:rPr>
        <w:t>暨陈美华名教师工作室研讨活动</w:t>
      </w:r>
      <w:r>
        <w:rPr>
          <w:rFonts w:hint="eastAsia" w:asciiTheme="minorEastAsia" w:hAnsiTheme="minorEastAsia"/>
          <w:sz w:val="24"/>
          <w:lang w:eastAsia="zh-CN"/>
        </w:rPr>
        <w:t>。</w:t>
      </w:r>
      <w:r>
        <w:rPr>
          <w:rFonts w:hint="eastAsia" w:asciiTheme="minorEastAsia" w:hAnsiTheme="minorEastAsia"/>
          <w:sz w:val="24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left"/>
        <w:textAlignment w:val="auto"/>
        <w:outlineLvl w:val="9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一、活动时间：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201</w:t>
      </w:r>
      <w:r>
        <w:rPr>
          <w:rFonts w:hint="eastAsia" w:asciiTheme="minorEastAsia" w:hAnsiTheme="minorEastAsia"/>
          <w:sz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</w:rPr>
        <w:t>年1月</w:t>
      </w:r>
      <w:r>
        <w:rPr>
          <w:rFonts w:hint="eastAsia" w:asciiTheme="minorEastAsia" w:hAnsiTheme="minorEastAsia"/>
          <w:sz w:val="24"/>
          <w:lang w:val="en-US" w:eastAsia="zh-CN"/>
        </w:rPr>
        <w:t>18</w:t>
      </w:r>
      <w:r>
        <w:rPr>
          <w:rFonts w:hint="eastAsia" w:asciiTheme="minorEastAsia" w:hAnsiTheme="minorEastAsia"/>
          <w:sz w:val="24"/>
        </w:rPr>
        <w:t>日</w:t>
      </w:r>
      <w:r>
        <w:rPr>
          <w:rFonts w:hint="eastAsia" w:asciiTheme="minorEastAsia" w:hAnsiTheme="minorEastAsia"/>
          <w:sz w:val="24"/>
          <w:lang w:eastAsia="zh-CN"/>
        </w:rPr>
        <w:t>下午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二、活动地点：</w:t>
      </w:r>
      <w:r>
        <w:rPr>
          <w:rFonts w:hint="eastAsia" w:asciiTheme="minorEastAsia" w:hAnsiTheme="minorEastAsia"/>
          <w:sz w:val="24"/>
          <w:lang w:eastAsia="zh-CN"/>
        </w:rPr>
        <w:t>武进</w:t>
      </w:r>
      <w:r>
        <w:rPr>
          <w:rFonts w:hint="eastAsia" w:asciiTheme="minorEastAsia" w:hAnsiTheme="minorEastAsia"/>
          <w:sz w:val="24"/>
          <w:lang w:val="en-US" w:eastAsia="zh-CN"/>
        </w:rPr>
        <w:t>区</w:t>
      </w:r>
      <w:r>
        <w:rPr>
          <w:rFonts w:hint="eastAsia" w:asciiTheme="minorEastAsia" w:hAnsiTheme="minorEastAsia"/>
          <w:sz w:val="24"/>
          <w:lang w:eastAsia="zh-CN"/>
        </w:rPr>
        <w:t>星辰实验学校</w:t>
      </w:r>
      <w:r>
        <w:rPr>
          <w:rFonts w:hint="eastAsia" w:asciiTheme="minorEastAsia" w:hAnsiTheme="minorEastAsia"/>
          <w:sz w:val="24"/>
        </w:rPr>
        <w:t>（常州市武进区广电</w:t>
      </w:r>
      <w:r>
        <w:rPr>
          <w:rFonts w:hint="eastAsia" w:asciiTheme="minorEastAsia" w:hAnsiTheme="minorEastAsia"/>
          <w:sz w:val="24"/>
          <w:lang w:eastAsia="zh-CN"/>
        </w:rPr>
        <w:t>西</w:t>
      </w:r>
      <w:r>
        <w:rPr>
          <w:rFonts w:hint="eastAsia" w:asciiTheme="minorEastAsia" w:hAnsiTheme="minorEastAsia"/>
          <w:sz w:val="24"/>
        </w:rPr>
        <w:t>路</w:t>
      </w:r>
      <w:r>
        <w:rPr>
          <w:rFonts w:hint="eastAsia" w:asciiTheme="minorEastAsia" w:hAnsiTheme="minorEastAsia"/>
          <w:sz w:val="24"/>
          <w:lang w:val="en-US" w:eastAsia="zh-CN"/>
        </w:rPr>
        <w:t>156</w:t>
      </w:r>
      <w:r>
        <w:rPr>
          <w:rFonts w:hint="eastAsia" w:asciiTheme="minorEastAsia" w:hAnsiTheme="minorEastAsia"/>
          <w:sz w:val="24"/>
        </w:rPr>
        <w:t>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80" w:right="0" w:rightChars="0" w:hanging="480" w:hangingChars="200"/>
        <w:jc w:val="left"/>
        <w:textAlignment w:val="auto"/>
        <w:outlineLvl w:val="9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三、参加对象：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79" w:leftChars="228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1.各辖市区教研员。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79" w:leftChars="228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2.常州市小学数学实验教学项目组的所有成员。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79" w:leftChars="228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3.常州市陈美华名教师工作室的成员。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79" w:leftChars="228" w:right="0" w:rightChars="0" w:firstLine="0" w:firstLineChars="0"/>
        <w:jc w:val="left"/>
        <w:textAlignment w:val="auto"/>
        <w:outlineLvl w:val="9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4.欢迎其他对</w:t>
      </w:r>
      <w:r>
        <w:rPr>
          <w:rFonts w:hint="eastAsia" w:asciiTheme="minorEastAsia" w:hAnsiTheme="minorEastAsia"/>
          <w:sz w:val="24"/>
          <w:lang w:eastAsia="zh-CN"/>
        </w:rPr>
        <w:t>小学数学实验教学研究</w:t>
      </w:r>
      <w:r>
        <w:rPr>
          <w:rFonts w:hint="eastAsia" w:asciiTheme="minorEastAsia" w:hAnsiTheme="minorEastAsia"/>
          <w:sz w:val="24"/>
          <w:lang w:val="en-US" w:eastAsia="zh-CN"/>
        </w:rPr>
        <w:t>感兴趣的教师报名参加。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/>
        <w:jc w:val="left"/>
        <w:textAlignment w:val="auto"/>
        <w:outlineLvl w:val="9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四、活动安排：</w:t>
      </w:r>
    </w:p>
    <w:tbl>
      <w:tblPr>
        <w:tblStyle w:val="3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81"/>
        <w:gridCol w:w="3808"/>
        <w:gridCol w:w="1"/>
        <w:gridCol w:w="1201"/>
        <w:gridCol w:w="1110"/>
        <w:gridCol w:w="990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606" w:hRule="atLeast"/>
        </w:trPr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时   间</w:t>
            </w:r>
          </w:p>
        </w:tc>
        <w:tc>
          <w:tcPr>
            <w:tcW w:w="4290" w:type="dxa"/>
            <w:gridSpan w:val="3"/>
            <w:vAlign w:val="center"/>
          </w:tcPr>
          <w:p>
            <w:pPr>
              <w:spacing w:line="240" w:lineRule="auto"/>
              <w:ind w:right="56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内  容</w:t>
            </w:r>
          </w:p>
        </w:tc>
        <w:tc>
          <w:tcPr>
            <w:tcW w:w="12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责任人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（执教）</w:t>
            </w:r>
          </w:p>
        </w:tc>
        <w:tc>
          <w:tcPr>
            <w:tcW w:w="11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主持人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910" w:hRule="atLeast"/>
        </w:trPr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</w:rPr>
              <w:t>～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48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堂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38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二年级《纸条接龙》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谢凤梨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蒋敏杰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观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摩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教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室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938" w:hRule="atLeast"/>
        </w:trPr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05</w:t>
            </w:r>
            <w:r>
              <w:rPr>
                <w:rFonts w:hint="eastAsia" w:ascii="宋体" w:hAnsi="宋体"/>
                <w:color w:val="000000"/>
                <w:sz w:val="24"/>
              </w:rPr>
              <w:t>～1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481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3808" w:type="dxa"/>
            <w:vAlign w:val="center"/>
          </w:tcPr>
          <w:p>
            <w:pPr>
              <w:spacing w:line="240" w:lineRule="auto"/>
              <w:ind w:right="56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color w:val="000000"/>
                <w:sz w:val="24"/>
              </w:rPr>
              <w:t>年级《月历表中的奥秘》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潘香君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2" w:hRule="atLeast"/>
        </w:trPr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color w:val="000000"/>
                <w:sz w:val="24"/>
              </w:rPr>
              <w:t>～1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481" w:type="dxa"/>
            <w:vAlign w:val="center"/>
          </w:tcPr>
          <w:p>
            <w:pPr>
              <w:spacing w:line="240" w:lineRule="auto"/>
              <w:ind w:right="560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研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讨</w:t>
            </w:r>
          </w:p>
        </w:tc>
        <w:tc>
          <w:tcPr>
            <w:tcW w:w="3808" w:type="dxa"/>
            <w:vAlign w:val="top"/>
          </w:tcPr>
          <w:p>
            <w:pPr>
              <w:spacing w:line="240" w:lineRule="auto"/>
              <w:ind w:right="56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互动研讨：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right="56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执教老师介绍思路。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right="560"/>
              <w:jc w:val="both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听课教师现场互动。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right="-188" w:rightChars="0"/>
              <w:jc w:val="both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数学实验教学课堂特征介绍。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陈美华</w:t>
            </w: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991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color w:val="000000"/>
                <w:sz w:val="24"/>
              </w:rPr>
              <w:t>～1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4"/>
              </w:rPr>
              <w:t>: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4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部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署</w:t>
            </w:r>
          </w:p>
        </w:tc>
        <w:tc>
          <w:tcPr>
            <w:tcW w:w="3808" w:type="dxa"/>
            <w:vAlign w:val="center"/>
          </w:tcPr>
          <w:p>
            <w:pPr>
              <w:spacing w:line="240" w:lineRule="auto"/>
              <w:ind w:right="56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部署下阶段工作：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right="56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讨论实验教学书稿写作。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right="-188" w:rightChars="0"/>
              <w:jc w:val="both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筹备实验工具评比颁奖会。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right="560"/>
              <w:jc w:val="both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研讨实验课题开展思路。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潘小福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992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五、注意事项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1. 本次活动不收取费用，来回交通费回原单位报销。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2.尽量选择公共交通前往，如果确须驾车前往，请听从学校人员关于停车方式的安排。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常州市教育科学研究院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2018.1.10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ZYJ-PK748200007c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SJ-PK748200007b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BZ-PK748c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SJ-PK74820000016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dobe 明體 Std L">
    <w:altName w:val="PMingLiU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915F0E"/>
    <w:multiLevelType w:val="singleLevel"/>
    <w:tmpl w:val="97915F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3A0A539"/>
    <w:multiLevelType w:val="singleLevel"/>
    <w:tmpl w:val="C3A0A5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97C6D"/>
    <w:rsid w:val="0CA87320"/>
    <w:rsid w:val="0DEB2402"/>
    <w:rsid w:val="1A3B181D"/>
    <w:rsid w:val="23541920"/>
    <w:rsid w:val="301D09F2"/>
    <w:rsid w:val="32697C6D"/>
    <w:rsid w:val="34D46F78"/>
    <w:rsid w:val="350943E1"/>
    <w:rsid w:val="35FC2862"/>
    <w:rsid w:val="397E0DDF"/>
    <w:rsid w:val="3D3F2B59"/>
    <w:rsid w:val="468306DE"/>
    <w:rsid w:val="519A48F2"/>
    <w:rsid w:val="58AA2CD3"/>
    <w:rsid w:val="5D2969F0"/>
    <w:rsid w:val="5D5B06BF"/>
    <w:rsid w:val="66EC0903"/>
    <w:rsid w:val="75FC1D47"/>
    <w:rsid w:val="7CAA2489"/>
    <w:rsid w:val="7DF1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2018-01-11T02:43:00Z</dcterms:created>
  <dc:creator>Administrator</dc:creator>
  <cp:lastModifiedBy>Administrator</cp:lastModifiedBy>
  <dcterms:modified xsi:type="dcterms:W3CDTF">2018-01-11T23:51:48Z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