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hd w:val="clear" w:fill="CFEBEF"/>
        <w:spacing w:lineRule="auto" w:line="240" w:before="60" w:after="60"/>
        <w:ind w:right="0" w:firstLine="480"/>
        <w:rPr>
          <w:spacing w:val="0"/>
          <w:vertAlign w:val="baseline"/>
          <w:color w:val="000000"/>
          <w:position w:val="0"/>
          <w:sz w:val="22"/>
          <w:szCs w:val="22"/>
          <w:smallCaps w:val="0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spacing w:val="0"/>
          <w:vertAlign w:val="baseline"/>
          <w:color w:val="000000"/>
          <w:position w:val="0"/>
          <w:sz w:val="22"/>
          <w:szCs w:val="22"/>
          <w:smallCaps w:val="0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hd w:val="clear" w:fill="CFEBEF"/>
        <w:spacing w:lineRule="auto" w:line="240" w:before="60" w:after="60"/>
        <w:ind w:right="0" w:firstLine="480"/>
        <w:rPr>
          <w:spacing w:val="0"/>
          <w:vertAlign w:val="baseline"/>
          <w:color w:val="000000"/>
          <w:position w:val="0"/>
          <w:sz w:val="22"/>
          <w:szCs w:val="22"/>
          <w:smallCaps w:val="0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spacing w:val="0"/>
          <w:vertAlign w:val="baseline"/>
          <w:color w:val="000000"/>
          <w:position w:val="0"/>
          <w:sz w:val="22"/>
          <w:szCs w:val="22"/>
          <w:smallCaps w:val="0"/>
          <w:rFonts w:ascii="sans-serif" w:eastAsia="sans-serif" w:hAnsi="sans-serif" w:hint="default"/>
        </w:rPr>
        <w:t xml:space="preserve">      __     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2018-9-12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60"/>
              <w:rPr>
                <w:b w:val="1"/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主题：六年级上册教材分析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1、认真学习新《课程标准》，领会精神，吃透教材，认真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备课，能更好完成教案中个性化补充，认真细致地批改作业，对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学困生实行面批面改。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2、切实加强基础知识和基本技能的教学。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3、重视引导学生自主探索，培养学生的创新意识与合作学</w:t>
            </w: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习能力。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4、重视培养学生的应用意识和实践能力。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5、把握教学要求，促进学生发展。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6、改进教学评估方法。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60" w:after="60"/>
        <w:ind w:right="0" w:firstLine="48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60" w:after="60"/>
        <w:ind w:right="0" w:firstLine="138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>____六数______备课组（教研组）活动记录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4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2018-9-19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6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470"/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主题：《</w:t>
            </w:r>
            <w:r>
              <w:rPr>
                <w:rStyle w:val="PO154"/>
                <w:spacing w:val="0"/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长方体和正方体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》集体备课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1、使学生通过观察、操作等活动认识长方体、正方体及其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展开图，知道长方体和正方体的面、棱、顶点以及长、宽、高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（棱长）的含义，掌握长方体和正方体的基本特征。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2、使学生通过动手实验和对具体实例的观察，了解体积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（容积）的意义及其常用的计量单位，初步具有1立方米、1立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方分米、1立方厘米实际大小的观念，会进行相邻体积单位的换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算。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3、使学生在具体情境中，经历操作、猜想、验证、讨论、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归纳等数学活动过程，探索并掌握长方体和正方体的表面积以及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体积的计算方法，能解决与表面积和体积计算相关的一些简单实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际问题。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4、使学生在活动中进一步积累空间与图形的学习经验，增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强空间观念，发展数学思考。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5、使学生进一步体会图形学习与实际生活的联系，感受图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形学习的价值，提高数学学习的兴趣和学好数学的自信心。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center"/>
        <w:shd w:val="clear" w:fill="CFEBEF"/>
        <w:spacing w:lineRule="auto" w:line="240" w:before="60" w:after="60"/>
        <w:ind w:right="0" w:firstLine="480"/>
        <w:rPr>
          <w:color w:val="auto"/>
          <w:position w:val="0"/>
          <w:sz w:val="24"/>
          <w:szCs w:val="24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hd w:val="clear" w:fill="CFEBEF"/>
        <w:spacing w:lineRule="auto" w:line="240" w:before="60" w:after="60"/>
        <w:ind w:right="0" w:firstLine="480"/>
        <w:rPr>
          <w:color w:val="auto"/>
          <w:position w:val="0"/>
          <w:sz w:val="24"/>
          <w:szCs w:val="24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hd w:val="clear" w:fill="CFEBEF"/>
        <w:spacing w:lineRule="auto" w:line="240" w:before="60" w:after="60"/>
        <w:ind w:right="0" w:firstLine="48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 xml:space="preserve">             ____六数______备课组（教研组）活动记录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2018-9-26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65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11805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b w:val="1"/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主题：《</w:t>
            </w:r>
            <w:r>
              <w:rPr>
                <w:rStyle w:val="PO154"/>
                <w:spacing w:val="0"/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分数乘法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》集体备课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1、使学生理解分数乘法表示的意义,理解和掌握分数乘法的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计算法则,并能比较熟练地计算分数乘法。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2、使学生理解求一个数的几分之几是多少的应用题的数量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关系和解题思路,掌握解题方法。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3、使学生掌握分数乘法和加、减法的混合运算,理解整数乘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法运算定律对于分数乘法同样适用,并能运用这些定律进行一些简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便的运算，进一步提高计算能力。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4、使学生理解倒数的意义,掌握求倒数的方法,能熟练地求一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个数的倒数.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shd w:val="clear" w:fill="CFEBEF"/>
        <w:spacing w:lineRule="auto" w:line="240" w:before="60" w:after="60"/>
        <w:ind w:right="0" w:firstLine="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 xml:space="preserve">               ____六数______备课组（教研组）活动记录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2018-10-10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470"/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主题：《</w:t>
            </w:r>
            <w:r>
              <w:rPr>
                <w:rStyle w:val="PO154"/>
                <w:spacing w:val="0"/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分数除法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》集体备课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1、使学生体会分数除法的意义，理解并掌握分数除法的计算方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法，能争正确计算分数（不含带分数）除法以及分数连除何乘除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混合运算的式题；能列方程解答已知一个数的几分之几是多少，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 xml:space="preserve">求这个数的简单实际问题。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2、使学生经历探索分数除法的计算方法和应用分数知识解决简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单实际问题的过程，进一步培养分析、比较、抽象、概括、归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纳、类推的能力，增强数感，发展数学思考。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3、使学生进一步体会分数在日常生活中的应用，增强自主探索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与合作交流的意识，提高学好数学的信心。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4、使学生在现实情境中理解比的意义，掌握比的读、写方法，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知道比的各部分名称以及比与分数、除法的关系；理解并掌握比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的性质，能应用比的意义和基本性质求比值、化简比，能应用比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的知识解答按比例分配的实际问题。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5、使学生经历比的概念的抽象过程，经历探索比与分数、除法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的关系以及比的基本性质的过程，积累数学活动的经验，进一步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体会数学知识之间的内在联系，培养观察、比较、抽象、概括以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及合情推理的能力。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6、使学生在经历用比描述生活现象、解决简单实际问题的过程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中，感受比与日常生活的密切联系，感受数学知识和方法的应用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价值，增强转折、自主探索与合作交流的意识，提高学好数学的</w:t>
            </w:r>
            <w:r>
              <w:rPr>
                <w:rStyle w:val="PO154"/>
                <w:spacing w:val="0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自信心。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16"/>
                <w:szCs w:val="16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16"/>
                <w:szCs w:val="16"/>
                <w:rFonts w:ascii="sans-serif" w:eastAsia="sans-serif" w:hAnsi="sans-serif" w:hint="default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60" w:after="60"/>
        <w:ind w:right="0" w:firstLine="420"/>
        <w:rPr>
          <w:color w:val="000000"/>
          <w:position w:val="0"/>
          <w:sz w:val="24"/>
          <w:szCs w:val="24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4"/>
          <w:szCs w:val="24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60" w:after="60"/>
        <w:ind w:right="0" w:firstLine="420"/>
        <w:rPr>
          <w:color w:val="000000"/>
          <w:position w:val="0"/>
          <w:sz w:val="24"/>
          <w:szCs w:val="24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4"/>
          <w:szCs w:val="24"/>
          <w:rFonts w:ascii="sans-serif" w:eastAsia="sans-serif" w:hAnsi="sans-serif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60" w:after="60"/>
        <w:ind w:right="0" w:firstLine="1680"/>
        <w:rPr>
          <w:color w:val="000000"/>
          <w:position w:val="0"/>
          <w:sz w:val="24"/>
          <w:szCs w:val="24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000000"/>
          <w:position w:val="0"/>
          <w:sz w:val="24"/>
          <w:szCs w:val="24"/>
          <w:rFonts w:ascii="sans-serif" w:eastAsia="sans-serif" w:hAnsi="sans-serif" w:hint="default"/>
        </w:rPr>
        <w:t>____六数______备课组（教研组）活动记录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2018-10-17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65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1164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910"/>
              <w:rPr>
                <w:b w:val="1"/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主题：学习《浅谈如何提高小学生计算能力》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9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学习材料：摘要：计算能力是小学生最基本的数学能力。小学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生计算能力的培养是小学数学教学的一项重要任务。严格按照教学要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求和目标进行教学，是提高学生计算能力的前提，讲清算理是提高学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生计算能力的关键，思维训练是核心，加强训练是途径。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9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培养认真、刻苦的学习态度和良好的计算习惯是提高小学生计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算能力的根本保证。教师要重视计算的教学，采用多种多样的教学手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段，把正确的思路和方法教给学生，提高学生计算的速度和准确性，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从而进一步提高学生的计算能力。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9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计算是小学生应该具备的最基本的数学技能。在小学数学教学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中，教师要按新课标的要求，把计算教学摆在重要位置，采用多种多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样的教学手段，把正确的思路和方法教给学生，通过科学训练，提高</w:t>
            </w: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计算的速度和准确性，从而进一步提高学生的计算能力。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</w:t>
      </w: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>____六数______备课组（教研组）活动记录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2018-10-24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65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主题：《期中复习及交流学习心得》（1）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长方体和正方体的表面积：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概念：长方体或正方体 6 个面的总面积，叫做它们的表面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积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0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计算公式：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长方体表面积=（长×宽+长×高+宽×高）×2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正方体表面积=棱长×棱长×6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注：不足 6 个面的实际问题根据具体情况计算，例如鱼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缸、无盖纸盒等等。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体积（容积）单位进率换算：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1 立方米 = 1000 立方分米  1 立方分米 = 1000 立方厘米 1m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³ =1000dm³      1dm³ = 1000cm³     1 升=1000 毫升   1 立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方分米 = 1 升     1 立方厘米=1 毫升  1L = 1000m L    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1dm³ = 1L       1cm³ = 1m L         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长方体和正方体的体积（容积）：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概念：物体所占空间的大小叫做它们的体积（容器所能容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纳其它物体的体积叫做 它的容积）。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计算公式：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长方体体积公式=长×宽×高      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正方体体积公式=棱长×棱长×棱长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630"/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长方体和正方体的体积=底面积×高  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16"/>
                <w:szCs w:val="16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16"/>
                <w:szCs w:val="16"/>
                <w:rFonts w:ascii="sans-serif" w:eastAsia="sans-serif" w:hAnsi="sans-serif" w:hint="default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</w:t>
      </w: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>____六数______备课组（教研组）活动记录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2018-10-31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960"/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主题：《期中复习及交流学习心得》（2）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 xml:space="preserve">分数乘法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分数与整数相乘及实际问题：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分数与整数相乘：用整数与分数的分子相乘的积作为分子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，分数的分母作为分 母，最后约分成最简分数。或者先将整数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与分数的分母进行约分，再应用前面计 算法则。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Calibri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注：【任何整数都可以看作为分母是 1 的分数】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求一个数的几分之几是多少，可以用乘法计算。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解题时可以根据表示几分之几的条件，确定单位 1 的量，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想单位 1 的几分之几 是哪个数量，找出数量关系式，再根据数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量关系式列式解答。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分数与分数相乘及连乘：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分数与分数相乘：用分子相乘的积作为分子，用分母相乘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的积作为分母，最后 约分成最简分数。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分数连乘：通过几个分数的分子与分母直接约分再进行计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算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一个数与比 1 小的数相乘，积小于原数；一个数与比 1 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大的数相乘，积大于原 数。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倒数的认识：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乘积是 1 的两个数互为倒数。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求一个数（不为 0）的倒数，只要将这个数的分子与分母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交换位置。 【整数 是分母为 1 的分数】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3.1 的倒数是 1，0 没有倒数。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假分数的倒数都小于或等于 1（或者说不大于 1）；真分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数的倒数都大于 1。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b w:val="1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b w:val="1"/>
                <w:color w:val="000000" w:themeColor="text1"/>
                <w:position w:val="0"/>
                <w:sz w:val="24"/>
                <w:szCs w:val="24"/>
                <w:rFonts w:ascii="宋体" w:eastAsia="宋体" w:hAnsi="宋体" w:hint="default"/>
              </w:rPr>
              <w:t>分数除法：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1.分数除法计算法则：甲数除以乙数（不为 0）等于甲数乘乙数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的倒数。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分数连除或乘除混合计算：可以从左向右依次计算，但一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般是遇到除以一个数， 把它改写成乘这个数的倒数来计算。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【转化成分数的连乘来计算】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除数大于 1，商小于被除数；除数小于 1，商大于被除数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；除数等于 1，商等 于被除数。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分数除法的意义：已知一个数的几分之几是多少，求这个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数？可以用列方程的 方法来解，也可以直接用除法。 </w:t>
            </w:r>
          </w:p>
          <w:p>
            <w:pPr>
              <w:numPr>
                <w:ilvl w:val="0"/>
                <w:numId w:val="1"/>
              </w:numPr>
              <w:jc w:val="both"/>
              <w:spacing w:lineRule="auto" w:line="240" w:before="0" w:after="1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注：在单位换算中，要弄清需要换算的单位之间的进率是多少。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</w:t>
      </w: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>___六数______备课组（教研组）活动记录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2018-11-7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65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75" w:after="75"/>
              <w:ind w:right="0" w:firstLine="1155"/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主题：《</w:t>
            </w:r>
            <w:r>
              <w:rPr>
                <w:rStyle w:val="PO154"/>
                <w:spacing w:val="0"/>
                <w:b w:val="1"/>
                <w:color w:val="000000"/>
                <w:position w:val="0"/>
                <w:sz w:val="24"/>
                <w:szCs w:val="24"/>
                <w:rFonts w:ascii="宋体" w:eastAsia="宋体" w:hAnsi="宋体" w:hint="default"/>
              </w:rPr>
              <w:t>分数四则混合运算</w:t>
            </w: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》集体备课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75" w:after="75"/>
              <w:ind w:right="0" w:firstLine="48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1、使学生联系已有的整数、小数四则混合运算的知识，理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解并掌握分数四则混合运算的运算顺序，并能正确进行分数四则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混合运算：了解整数运算律对分数同样适用，并能应用运算律进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行有关分数的简便计算。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75" w:after="75"/>
              <w:ind w:right="0" w:firstLine="480"/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2、使学生学会用分数乘法和加、减法解决一些稍复杂的实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际问题，进一步积累解决问题的策略，增强数学应用意识。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75" w:after="75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3、使学生在运用已有知识和经验进行分数四则混合运算的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过程中，进一步体会数学知识之间的内在联系，体会数学知识和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方法在解决问题中的价值，获得成功的乐趣的体验，提高数学学</w:t>
            </w:r>
            <w:r>
              <w:rPr>
                <w:rStyle w:val="PO1"/>
                <w:spacing w:val="0"/>
                <w:color w:val="000000"/>
                <w:position w:val="0"/>
                <w:sz w:val="24"/>
                <w:szCs w:val="24"/>
                <w:rFonts w:ascii="Times New Roman" w:eastAsia="宋体" w:hAnsi="宋体" w:hint="default"/>
              </w:rPr>
              <w:t>习的兴趣和学好数学的信心</w:t>
            </w:r>
            <w:r>
              <w:rPr>
                <w:b w:val="1"/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br/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</w:t>
      </w:r>
      <w:r>
        <w:rPr>
          <w:color w:val="000000"/>
          <w:position w:val="0"/>
          <w:sz w:val="22"/>
          <w:szCs w:val="22"/>
          <w:rFonts w:ascii="sans-serif" w:eastAsia="sans-serif" w:hAnsi="sans-serif" w:hint="default"/>
        </w:rPr>
        <w:t>_六数__备课组（教研组）活动记录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8100" w:type="dxa"/>
        <w:tblLook w:val="000600" w:firstRow="0" w:lastRow="0" w:firstColumn="0" w:lastColumn="0" w:noHBand="1" w:noVBand="1"/>
        <w:tblLayout w:type="fixed"/>
      </w:tblPr>
      <w:tblGrid>
        <w:gridCol w:w="1110"/>
        <w:gridCol w:w="1935"/>
        <w:gridCol w:w="720"/>
        <w:gridCol w:w="1815"/>
        <w:gridCol w:w="1185"/>
        <w:gridCol w:w="1335"/>
      </w:tblGrid>
      <w:tr>
        <w:trPr>
          <w:trHeight w:hRule="atleast" w:val="12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时间</w:t>
            </w:r>
          </w:p>
        </w:tc>
        <w:tc>
          <w:tcPr>
            <w:tcW w:type="dxa" w:w="19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2018-11-14</w:t>
            </w:r>
          </w:p>
        </w:tc>
        <w:tc>
          <w:tcPr>
            <w:tcW w:type="dxa" w:w="72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地点</w:t>
            </w:r>
          </w:p>
        </w:tc>
        <w:tc>
          <w:tcPr>
            <w:tcW w:type="dxa" w:w="181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46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会议室</w:t>
            </w:r>
          </w:p>
        </w:tc>
        <w:tc>
          <w:tcPr>
            <w:tcW w:type="dxa" w:w="118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主持人</w:t>
            </w:r>
          </w:p>
        </w:tc>
        <w:tc>
          <w:tcPr>
            <w:tcW w:type="dxa" w:w="1335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none" w:color="auto"/>
              <w:right w:val="single" w:color="000000" w:sz="6"/>
              <w:top w:val="single" w:color="000000" w:sz="6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spacing w:val="0"/>
                <w:vertAlign w:val="baseline"/>
                <w:color w:val="000000"/>
                <w:position w:val="0"/>
                <w:sz w:val="22"/>
                <w:szCs w:val="22"/>
                <w:smallCaps w:val="0"/>
                <w:rFonts w:ascii="sans-serif" w:eastAsia="sans-serif" w:hAnsi="sans-serif" w:hint="default"/>
              </w:rPr>
              <w:t>黄平东</w:t>
            </w:r>
          </w:p>
        </w:tc>
      </w:tr>
      <w:tr>
        <w:trPr>
          <w:trHeight w:hRule="atleast" w:val="60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参加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人员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395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 xml:space="preserve">董晓平    黄平东   董晓华  陈祥娣  朱春漫</w:t>
            </w:r>
          </w:p>
        </w:tc>
      </w:tr>
      <w:tr>
        <w:trPr>
          <w:trHeight w:hRule="atleast" w:val="9150"/>
          <w:hidden w:val="0"/>
        </w:trPr>
        <w:tc>
          <w:tcPr>
            <w:tcW w:type="dxa" w:w="1110"/>
            <w:tcMar>
              <w:left w:w="90" w:type="dxa"/>
              <w:right w:w="90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活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动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记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60" w:after="60"/>
              <w:ind w:right="0" w:firstLine="48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t>录</w:t>
            </w:r>
          </w:p>
        </w:tc>
        <w:tc>
          <w:tcPr>
            <w:tcW w:type="dxa" w:w="6990"/>
            <w:tcMar>
              <w:left w:w="90" w:type="dxa"/>
              <w:right w:w="90" w:type="dxa"/>
            </w:tcMar>
            <w:vAlign w:val="center"/>
            <w:gridSpan w:val="5"/>
            <w:tcBorders>
              <w:bottom w:val="single" w:color="000000" w:sz="6"/>
              <w:left w:val="none" w:color="auto"/>
              <w:right w:val="single" w:color="000000" w:sz="6"/>
              <w:top w:val="none" w:color="auto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60" w:after="60"/>
              <w:ind w:right="0" w:firstLine="1440"/>
              <w:rPr>
                <w:color w:val="000000"/>
                <w:position w:val="0"/>
                <w:sz w:val="22"/>
                <w:szCs w:val="22"/>
                <w:rFonts w:ascii="sans-serif" w:eastAsia="sans-serif" w:hAnsi="sans-serif" w:hint="default"/>
              </w:rPr>
              <w:wordWrap w:val="off"/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rFonts w:ascii="sans-serif" w:eastAsia="sans-serif" w:hAnsi="sans-serif" w:hint="default"/>
              </w:rPr>
              <w:t>主题：一起作业网培训讲座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                            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75" w:after="75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sans-serif" w:eastAsia="sans-serif" w:hAnsi="sans-serif" w:hint="default"/>
        </w:rPr>
        <w:t xml:space="preserve"> 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ans-serif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1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2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3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4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5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6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7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  <w:lvl w:ilvl="8">
      <w:lvlJc w:val="left"/>
      <w:numFmt w:val="decimal"/>
      <w:start w:val="1"/>
      <w:suff w:val="nothing"/>
      <w:rPr>
        <w:color w:val="FF0000"/>
        <w:rFonts w:ascii="宋体" w:eastAsia="宋体" w:hAnsi="宋体"/>
        <w:b/>
        <w:sz w:val="24"/>
        <w:szCs w:val="24"/>
        <w:u w:val="none"/>
        <w:w w:val="100"/>
      </w:rPr>
      <w:lvlText w:val="（%1）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1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2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3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4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5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6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7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8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</w:abstractNum>
  <w:abstractNum w:abstractNumId="2">
    <w:multiLevelType w:val="hybridMultilevel"/>
    <w:nsid w:val="2F000002"/>
    <w:tmpl w:val="1F000C5F"/>
    <w:lvl w:ilvl="0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1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2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3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4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5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6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7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8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1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2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3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4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5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6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7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8">
      <w:lvlJc w:val="left"/>
      <w:numFmt w:val="decimal"/>
      <w:start w:val="1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</w:abstractNum>
  <w:abstractNum w:abstractNumId="4">
    <w:multiLevelType w:val="hybridMultilevel"/>
    <w:nsid w:val="2F000004"/>
    <w:tmpl w:val="1F002570"/>
    <w:lvl w:ilvl="0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1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2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3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4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5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6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7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8">
      <w:lvlJc w:val="left"/>
      <w:numFmt w:val="decimal"/>
      <w:start w:val="4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</w:abstractNum>
  <w:abstractNum w:abstractNumId="5">
    <w:multiLevelType w:val="hybridMultilevel"/>
    <w:nsid w:val="2F000005"/>
    <w:tmpl w:val="1F001EB6"/>
    <w:lvl w:ilvl="0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1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2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3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4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5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6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7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  <w:lvl w:ilvl="8">
      <w:lvlJc w:val="left"/>
      <w:numFmt w:val="decimal"/>
      <w:start w:val="2"/>
      <w:suff w:val="nothing"/>
      <w:rPr>
        <w:rFonts w:ascii="宋体" w:eastAsia="宋体" w:hAnsi="宋体"/>
        <w:sz w:val="24"/>
        <w:szCs w:val="24"/>
        <w:u w:val="none"/>
        <w:w w:val="100"/>
      </w:rPr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10</Pages>
  <Paragraphs>0</Paragraphs>
  <Words>305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