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（滨江园）中五班区域游戏计划</w:t>
      </w:r>
    </w:p>
    <w:tbl>
      <w:tblPr>
        <w:tblStyle w:val="8"/>
        <w:tblpPr w:leftFromText="180" w:rightFromText="180" w:vertAnchor="text" w:tblpY="1"/>
        <w:tblOverlap w:val="never"/>
        <w:tblW w:w="104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9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8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环境设置背景</w:t>
            </w:r>
          </w:p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52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</w:tcPr>
          <w:p>
            <w:pPr>
              <w:ind w:firstLine="413"/>
              <w:rPr>
                <w:b/>
              </w:rPr>
            </w:pPr>
            <w:r>
              <w:rPr>
                <w:b/>
                <w:color w:val="000000"/>
              </w:rPr>
              <w:t xml:space="preserve"> 1</w:t>
            </w:r>
            <w:r>
              <w:rPr>
                <w:rFonts w:ascii="宋体"/>
                <w:b/>
                <w:color w:val="000000"/>
                <w:szCs w:val="21"/>
              </w:rPr>
              <w:t>.</w:t>
            </w:r>
            <w:r>
              <w:rPr>
                <w:rFonts w:hint="eastAsia"/>
                <w:b/>
              </w:rPr>
              <w:t>区域规划</w:t>
            </w:r>
          </w:p>
          <w:p>
            <w:pPr>
              <w:ind w:firstLine="422" w:firstLineChars="200"/>
            </w:pPr>
            <w:r>
              <w:rPr>
                <w:rFonts w:hint="eastAsia"/>
                <w:b/>
              </w:rPr>
              <w:t>（</w:t>
            </w:r>
            <w:r>
              <w:rPr>
                <w:b/>
              </w:rPr>
              <w:t>1</w:t>
            </w:r>
            <w:r>
              <w:rPr>
                <w:rFonts w:hint="eastAsia"/>
                <w:b/>
              </w:rPr>
              <w:t>）区域划分</w:t>
            </w:r>
            <w:r>
              <w:rPr>
                <w:rFonts w:hint="eastAsia"/>
              </w:rPr>
              <w:t>我们综合思考将班级区</w:t>
            </w:r>
            <w:r>
              <w:rPr>
                <w:rFonts w:hint="eastAsia"/>
                <w:color w:val="000000"/>
              </w:rPr>
              <w:t>域分为“巧手区”、“图书区”、“建构区”几大区域，</w:t>
            </w:r>
            <w:r>
              <w:rPr>
                <w:rFonts w:hint="eastAsia"/>
              </w:rPr>
              <w:t>通过区域牌、柜面的隔断摆放，将教室设置成不同的区域空间，帮助幼儿了解有哪些游戏区域、有哪些游戏材料以及该如何创造性使用这些材料。彼此独立组织有序的区域空间能给幼儿以安全感和明确的游戏目标，布置得井然有序的区域环境能传达出一种秩序感和结构感，为幼儿自由、自主、创新、愉悦地游戏，提供很大的发挥空间。</w:t>
            </w:r>
          </w:p>
          <w:p>
            <w:pPr>
              <w:spacing w:line="300" w:lineRule="exact"/>
              <w:ind w:firstLine="413" w:firstLineChars="196"/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（</w:t>
            </w:r>
            <w:r>
              <w:rPr>
                <w:rFonts w:ascii="宋体" w:hAnsi="宋体"/>
                <w:b/>
                <w:color w:val="000000"/>
                <w:szCs w:val="21"/>
              </w:rPr>
              <w:t>2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）标识制定</w:t>
            </w:r>
            <w:r>
              <w:rPr>
                <w:rFonts w:hint="eastAsia" w:ascii="宋体" w:hAnsi="宋体"/>
                <w:color w:val="000000"/>
                <w:szCs w:val="21"/>
              </w:rPr>
              <w:t>在与幼儿共同讨论区域游戏内容及规则的基础上，以图文结合的形式，以岗位制、规则为抓手，以评价助推形成特有的班级游戏文化。</w:t>
            </w:r>
          </w:p>
          <w:p>
            <w:pPr>
              <w:spacing w:line="300" w:lineRule="exact"/>
              <w:ind w:firstLine="413" w:firstLineChars="196"/>
              <w:rPr>
                <w:b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 xml:space="preserve"> 2.</w:t>
            </w:r>
            <w:r>
              <w:rPr>
                <w:rFonts w:hint="eastAsia"/>
                <w:b/>
              </w:rPr>
              <w:t>材料提供：</w:t>
            </w:r>
            <w:r>
              <w:rPr>
                <w:rFonts w:hint="eastAsia"/>
              </w:rPr>
              <w:t>我们将主题中操作性强的活动延伸至区域中，直接以材料投放的形式，放入活动区，引导幼儿在区域个别化的操作学习中，在与材料、与同伴的个别化互动中完成学习内容；另一方面，随着主题的推进，我们将集体活动中的部分难点、重点或者幼儿感兴趣的、有拓展空间的内容隐入材料，鼓励他们在反复操作中深化认识、巩固经验。</w:t>
            </w:r>
          </w:p>
          <w:p>
            <w:pPr>
              <w:spacing w:line="300" w:lineRule="exact"/>
              <w:ind w:firstLine="412" w:firstLineChars="196"/>
            </w:pPr>
            <w:r>
              <w:rPr>
                <w:rFonts w:hint="eastAsia"/>
              </w:rPr>
              <w:t>其次，结合幼儿的主题经验和发展需求，在环境创设中，采用多样性的环境材料满足幼儿探究的兴趣。第一，环境材料生活化。尽可能利用教室现有的环境和来自生活中的各种材料。第二，环境材料立体化。利用墙面、桌面、地面、柜面，通过各种立体操作材料吸引幼儿自主活动。第三，环境材料情景化。通过游戏性、可变性、问题性的环境材料和不同的记录展示方式，尽可能给幼儿留出活动的空间和探究、体验的痕迹。让游戏承载学习功能，让区域活动彰显游戏精神。</w:t>
            </w:r>
          </w:p>
        </w:tc>
      </w:tr>
    </w:tbl>
    <w:p/>
    <w:tbl>
      <w:tblPr>
        <w:tblStyle w:val="8"/>
        <w:tblpPr w:leftFromText="180" w:rightFromText="180" w:vertAnchor="text" w:tblpY="1"/>
        <w:tblOverlap w:val="never"/>
        <w:tblW w:w="104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3232"/>
        <w:gridCol w:w="344"/>
        <w:gridCol w:w="1687"/>
        <w:gridCol w:w="39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400" w:type="dxa"/>
            <w:gridSpan w:val="5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区域设置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1" w:type="dxa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区域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3232" w:type="dxa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环境创设</w:t>
            </w:r>
          </w:p>
        </w:tc>
        <w:tc>
          <w:tcPr>
            <w:tcW w:w="2031" w:type="dxa"/>
            <w:gridSpan w:val="2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游戏名称或材料</w:t>
            </w:r>
          </w:p>
        </w:tc>
        <w:tc>
          <w:tcPr>
            <w:tcW w:w="3906" w:type="dxa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游戏目标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31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</w:p>
          <w:p>
            <w:pPr>
              <w:jc w:val="center"/>
              <w:rPr>
                <w:b/>
                <w:sz w:val="24"/>
                <w:szCs w:val="24"/>
              </w:rPr>
            </w:pPr>
          </w:p>
          <w:p>
            <w:pPr>
              <w:jc w:val="center"/>
              <w:rPr>
                <w:b/>
                <w:sz w:val="24"/>
                <w:szCs w:val="24"/>
              </w:rPr>
            </w:pPr>
          </w:p>
          <w:p>
            <w:pPr>
              <w:jc w:val="center"/>
              <w:rPr>
                <w:b/>
                <w:sz w:val="24"/>
                <w:szCs w:val="24"/>
              </w:rPr>
            </w:pP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巧手区</w:t>
            </w:r>
          </w:p>
        </w:tc>
        <w:tc>
          <w:tcPr>
            <w:tcW w:w="323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135255</wp:posOffset>
                  </wp:positionV>
                  <wp:extent cx="1906905" cy="1800225"/>
                  <wp:effectExtent l="0" t="0" r="17145" b="9525"/>
                  <wp:wrapSquare wrapText="bothSides"/>
                  <wp:docPr id="5" name="图片 5" descr="IMG_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</w:p>
        </w:tc>
        <w:tc>
          <w:tcPr>
            <w:tcW w:w="203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环境</w:t>
            </w:r>
          </w:p>
        </w:tc>
        <w:tc>
          <w:tcPr>
            <w:tcW w:w="390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巧手区是一个让孩子们感受美、发现美和创造美的小天地，主要分为美工区和泥工区。美工区里，各种低结构、高功能的材料摆放有序，各种具有横向与纵向层次性的材料，既满足一般水平幼儿的发展要求，又照顾到那些能力较强和较弱的幼儿的发展需要，使他们都能在区角活动中探索与自己能力兴趣相适应的材料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在巧手区里，孩子们的计划性以及动手能力、交往能力、合作能力、解决问题的能力等在制作的过程中得到了提升。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6" w:hRule="atLeast"/>
        </w:trPr>
        <w:tc>
          <w:tcPr>
            <w:tcW w:w="1231" w:type="dxa"/>
            <w:vMerge w:val="continue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908175" cy="1800225"/>
                  <wp:effectExtent l="0" t="0" r="15875" b="9525"/>
                  <wp:wrapSquare wrapText="bothSides"/>
                  <wp:docPr id="11" name="图片 11" descr="IMG_5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6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4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巧</w:t>
            </w: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区</w:t>
            </w: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我爱刮画</w:t>
            </w: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（材料：刮画纸刮画棒等）</w:t>
            </w:r>
          </w:p>
        </w:tc>
        <w:tc>
          <w:tcPr>
            <w:tcW w:w="390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</w:rPr>
            </w:pPr>
          </w:p>
          <w:p>
            <w:pPr>
              <w:spacing w:line="360" w:lineRule="exact"/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1.能够依据自己的喜爱作画。</w:t>
            </w:r>
          </w:p>
          <w:p>
            <w:pPr>
              <w:spacing w:line="360" w:lineRule="exact"/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2.乐意与同伴分享交流画画的内容，感受绘画的乐趣。</w:t>
            </w:r>
          </w:p>
          <w:p>
            <w:pPr>
              <w:spacing w:line="360" w:lineRule="exact"/>
              <w:rPr>
                <w:rFonts w:asciiTheme="minorEastAsia" w:hAnsiTheme="minorEastAsia" w:eastAsiaTheme="minorEastAsia"/>
              </w:rPr>
            </w:pPr>
          </w:p>
          <w:p>
            <w:pPr>
              <w:spacing w:line="360" w:lineRule="exact"/>
              <w:rPr>
                <w:rFonts w:asciiTheme="minorEastAsia" w:hAnsiTheme="minorEastAsia" w:eastAsiaTheme="minorEastAsia"/>
              </w:rPr>
            </w:pPr>
          </w:p>
          <w:p>
            <w:pPr>
              <w:spacing w:line="360" w:lineRule="exact"/>
              <w:rPr>
                <w:rFonts w:asciiTheme="minorEastAsia" w:hAnsiTheme="minorEastAsia" w:eastAsiaTheme="minorEastAsia"/>
              </w:rPr>
            </w:pPr>
          </w:p>
          <w:p>
            <w:pPr>
              <w:spacing w:line="360" w:lineRule="exact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1" w:hRule="atLeast"/>
        </w:trPr>
        <w:tc>
          <w:tcPr>
            <w:tcW w:w="1231" w:type="dxa"/>
            <w:vMerge w:val="continue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913890" cy="1800225"/>
                  <wp:effectExtent l="0" t="0" r="10160" b="9525"/>
                  <wp:wrapSquare wrapText="bothSides"/>
                  <wp:docPr id="13" name="图片 13" descr="IMG_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泥工想象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（材料：橡皮泥、太空泥、泥工板、造型磨具、硬纸板等）</w:t>
            </w:r>
          </w:p>
        </w:tc>
        <w:tc>
          <w:tcPr>
            <w:tcW w:w="390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1.能够根据已有经验用搓、团、捏等方式捏出自己喜欢的造型。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2.愿意与同伴交流自己作品的故事，感受泥塑的乐趣。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1" w:type="dxa"/>
            <w:vMerge w:val="continue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b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1913890" cy="1800225"/>
                  <wp:effectExtent l="0" t="0" r="10160" b="9525"/>
                  <wp:wrapSquare wrapText="bothSides"/>
                  <wp:docPr id="14" name="图片 14" descr="IMG_5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折纸：猫头鹰、船等</w:t>
            </w: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（材料：正方形纸、图示步骤图、笔）</w:t>
            </w: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906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1.能够看懂图示，了解折纸的基本步骤。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2.遇到困难时，能够坚持不懈或者寻求同伴的帮助。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rPr>
                <w:rFonts w:cs="Arial" w:asciiTheme="minorEastAsia" w:hAnsiTheme="minorEastAsia" w:eastAsiaTheme="minorEastAsia"/>
                <w:color w:val="000000" w:themeColor="text1"/>
                <w:szCs w:val="21"/>
              </w:rPr>
            </w:pPr>
          </w:p>
          <w:p>
            <w:pPr>
              <w:rPr>
                <w:rFonts w:cs="Arial" w:asciiTheme="minorEastAsia" w:hAnsiTheme="minorEastAsia" w:eastAsiaTheme="minorEastAsia"/>
                <w:color w:val="000000" w:themeColor="text1"/>
                <w:szCs w:val="21"/>
              </w:rPr>
            </w:pPr>
          </w:p>
          <w:p>
            <w:pPr>
              <w:rPr>
                <w:rFonts w:cs="Arial" w:asciiTheme="minorEastAsia" w:hAnsiTheme="minorEastAsia" w:eastAsiaTheme="minorEastAsia"/>
                <w:color w:val="000000" w:themeColor="text1"/>
                <w:szCs w:val="21"/>
              </w:rPr>
            </w:pPr>
          </w:p>
          <w:p>
            <w:pPr>
              <w:rPr>
                <w:rFonts w:cs="Arial" w:asciiTheme="minorEastAsia" w:hAnsiTheme="minorEastAsia" w:eastAsiaTheme="minorEastAsia"/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4" w:hRule="atLeast"/>
        </w:trPr>
        <w:tc>
          <w:tcPr>
            <w:tcW w:w="1231" w:type="dxa"/>
            <w:vMerge w:val="restart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阅读区</w:t>
            </w:r>
          </w:p>
        </w:tc>
        <w:tc>
          <w:tcPr>
            <w:tcW w:w="3232" w:type="dxa"/>
          </w:tcPr>
          <w:p/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1913890" cy="1800225"/>
                  <wp:effectExtent l="0" t="0" r="10160" b="9525"/>
                  <wp:wrapSquare wrapText="bothSides"/>
                  <wp:docPr id="15" name="图片 15" descr="IMG_5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913890" cy="1800225"/>
                  <wp:effectExtent l="0" t="0" r="10160" b="9525"/>
                  <wp:wrapSquare wrapText="bothSides"/>
                  <wp:docPr id="16" name="图片 16" descr="IMG_5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1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环境</w:t>
            </w:r>
          </w:p>
        </w:tc>
        <w:tc>
          <w:tcPr>
            <w:tcW w:w="3906" w:type="dxa"/>
            <w:vAlign w:val="center"/>
          </w:tcPr>
          <w:p>
            <w:pPr>
              <w:rPr>
                <w:rFonts w:cs="宋体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szCs w:val="21"/>
              </w:rPr>
              <w:t>由于教室空间问题，图书区分成两部分。但是都是相对安静的地方。幼儿们可以根据选择的区域选择较近的座位，享受图书带来的乐趣。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4" w:hRule="atLeast"/>
        </w:trPr>
        <w:tc>
          <w:tcPr>
            <w:tcW w:w="1231" w:type="dxa"/>
            <w:vMerge w:val="continue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3232" w:type="dxa"/>
          </w:tcPr>
          <w:p>
            <w:pPr>
              <w:jc w:val="both"/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1913890" cy="1800225"/>
                  <wp:effectExtent l="0" t="0" r="10160" b="9525"/>
                  <wp:wrapSquare wrapText="bothSides"/>
                  <wp:docPr id="17" name="图片 17" descr="IMG_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6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1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绘本阅读</w:t>
            </w:r>
          </w:p>
          <w:p>
            <w:pPr>
              <w:jc w:val="center"/>
              <w:rPr>
                <w:rFonts w:ascii="宋体" w:cs="宋体"/>
                <w:color w:val="000000"/>
                <w:szCs w:val="21"/>
              </w:rPr>
            </w:pPr>
          </w:p>
        </w:tc>
        <w:tc>
          <w:tcPr>
            <w:tcW w:w="3906" w:type="dxa"/>
            <w:vAlign w:val="center"/>
          </w:tcPr>
          <w:p>
            <w:pPr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</w:t>
            </w:r>
            <w:r>
              <w:rPr>
                <w:rFonts w:hint="eastAsia" w:asciiTheme="minorEastAsia" w:hAnsiTheme="minorEastAsia" w:eastAsiaTheme="minorEastAsia"/>
              </w:rPr>
              <w:t>．喜欢阅读不同题材的图画书。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2</w:t>
            </w:r>
            <w:r>
              <w:rPr>
                <w:rFonts w:hint="eastAsia" w:asciiTheme="minorEastAsia" w:hAnsiTheme="minorEastAsia" w:eastAsiaTheme="minorEastAsia"/>
              </w:rPr>
              <w:t>．能用正确的方式自主翻阅图书，和同伴一起进行友好的合作阅读，共同分享阅读经验。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4" w:hRule="atLeast"/>
        </w:trPr>
        <w:tc>
          <w:tcPr>
            <w:tcW w:w="1231" w:type="dxa"/>
            <w:vMerge w:val="continue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3232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133350</wp:posOffset>
                  </wp:positionV>
                  <wp:extent cx="1906905" cy="1800225"/>
                  <wp:effectExtent l="0" t="0" r="17145" b="9525"/>
                  <wp:wrapSquare wrapText="bothSides"/>
                  <wp:docPr id="18" name="图片 18" descr="IMG_5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6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1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图书修补站</w:t>
            </w:r>
          </w:p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（材料：剪刀、透明胶、双面胶、固体胶）</w:t>
            </w:r>
          </w:p>
        </w:tc>
        <w:tc>
          <w:tcPr>
            <w:tcW w:w="3906" w:type="dxa"/>
            <w:vAlign w:val="center"/>
          </w:tcPr>
          <w:p>
            <w:pPr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1.能针对破损的地方选取适当的修补材料进行修补。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2.在修补图书的过程中学会保护图书。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8" w:hRule="atLeast"/>
        </w:trPr>
        <w:tc>
          <w:tcPr>
            <w:tcW w:w="1231" w:type="dxa"/>
          </w:tcPr>
          <w:p>
            <w:pPr>
              <w:jc w:val="left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left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left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left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jc w:val="lef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建构区</w:t>
            </w:r>
          </w:p>
        </w:tc>
        <w:tc>
          <w:tcPr>
            <w:tcW w:w="3232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2037080</wp:posOffset>
                  </wp:positionV>
                  <wp:extent cx="1913890" cy="1800225"/>
                  <wp:effectExtent l="0" t="0" r="10160" b="9525"/>
                  <wp:wrapSquare wrapText="bothSides"/>
                  <wp:docPr id="20" name="图片 20" descr="IMG_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6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913890" cy="1800225"/>
                  <wp:effectExtent l="0" t="0" r="10160" b="9525"/>
                  <wp:wrapSquare wrapText="bothSides"/>
                  <wp:docPr id="19" name="图片 19" descr="IMG_5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6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1" w:type="dxa"/>
            <w:gridSpan w:val="2"/>
            <w:vAlign w:val="center"/>
          </w:tcPr>
          <w:p>
            <w:pPr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   桌面建构区</w:t>
            </w:r>
          </w:p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（材料：雪花片、各种拼插积木）</w:t>
            </w:r>
          </w:p>
        </w:tc>
        <w:tc>
          <w:tcPr>
            <w:tcW w:w="3906" w:type="dxa"/>
            <w:vAlign w:val="center"/>
          </w:tcPr>
          <w:p>
            <w:pPr>
              <w:ind w:firstLine="420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1.</w:t>
            </w:r>
            <w:r>
              <w:rPr>
                <w:rFonts w:hint="eastAsia" w:asciiTheme="minorEastAsia" w:hAnsiTheme="minorEastAsia" w:eastAsiaTheme="minorEastAsia"/>
              </w:rPr>
              <w:t>喜欢摆弄各类积木、材料，体验拼搭的乐趣。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2.遇到困难时，能够坚持不懈或者寻求同伴的帮助。</w:t>
            </w:r>
          </w:p>
          <w:p>
            <w:pPr>
              <w:ind w:firstLine="420" w:firstLineChars="20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3.愿意与同伴交流自己作品的故事，感受建构的乐趣。</w:t>
            </w:r>
          </w:p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/>
    <w:p/>
    <w:p/>
    <w:p>
      <w:pPr>
        <w:rPr>
          <w:b/>
          <w:bCs/>
          <w:sz w:val="72"/>
          <w:szCs w:val="72"/>
        </w:rPr>
      </w:pPr>
    </w:p>
    <w:p>
      <w:pPr>
        <w:ind w:firstLine="1417" w:firstLineChars="196"/>
      </w:pPr>
      <w:r>
        <w:rPr>
          <w:rFonts w:hint="eastAsia"/>
          <w:b/>
          <w:bCs/>
          <w:sz w:val="72"/>
          <w:szCs w:val="72"/>
        </w:rPr>
        <w:t>中五班区域设置平面图</w:t>
      </w:r>
    </w:p>
    <w:p/>
    <w:p/>
    <w:p>
      <w:r>
        <w:pict>
          <v:rect id="_x0000_s1060" o:spid="_x0000_s1060" o:spt="1" style="position:absolute;left:0pt;margin-left:86.25pt;margin-top:8.05pt;height:96pt;width:165.75pt;z-index:25171148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sz w:val="44"/>
                      <w:szCs w:val="44"/>
                    </w:rPr>
                    <w:t>图书区</w:t>
                  </w:r>
                </w:p>
              </w:txbxContent>
            </v:textbox>
          </v:rect>
        </w:pict>
      </w:r>
      <w:r>
        <w:pict>
          <v:rect id="_x0000_s1061" o:spid="_x0000_s1061" o:spt="1" style="position:absolute;left:0pt;margin-left:252pt;margin-top:8.05pt;height:198pt;width:143.25pt;z-index:251712512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sz w:val="44"/>
                      <w:szCs w:val="44"/>
                    </w:rPr>
                    <w:t>巧手区</w:t>
                  </w:r>
                </w:p>
              </w:txbxContent>
            </v:textbox>
          </v:rect>
        </w:pict>
      </w:r>
    </w:p>
    <w:p/>
    <w:p/>
    <w:p/>
    <w:p/>
    <w:p/>
    <w:p>
      <w:r>
        <w:pict>
          <v:rect id="_x0000_s1064" o:spid="_x0000_s1064" o:spt="1" style="position:absolute;left:0pt;margin-left:86.25pt;margin-top:10.45pt;height:102pt;width:165.75pt;z-index:25171558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</w:p>
    <w:p/>
    <w:p/>
    <w:p/>
    <w:p/>
    <w:p/>
    <w:p/>
    <w:p>
      <w:r>
        <w:pict>
          <v:rect id="_x0000_s1063" o:spid="_x0000_s1063" o:spt="1" style="position:absolute;left:0pt;margin-left:86.25pt;margin-top:3.25pt;height:117pt;width:165.75pt;z-index:25171456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sz w:val="44"/>
                      <w:szCs w:val="44"/>
                    </w:rPr>
                    <w:t>图书区</w:t>
                  </w:r>
                </w:p>
              </w:txbxContent>
            </v:textbox>
          </v:rect>
        </w:pict>
      </w:r>
      <w:r>
        <w:pict>
          <v:rect id="_x0000_s1062" o:spid="_x0000_s1062" o:spt="1" style="position:absolute;left:0pt;margin-left:252pt;margin-top:3.25pt;height:117pt;width:143.25pt;z-index:251713536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sz w:val="44"/>
                      <w:szCs w:val="44"/>
                    </w:rPr>
                    <w:t>建构区</w:t>
                  </w:r>
                </w:p>
              </w:txbxContent>
            </v:textbox>
          </v:rect>
        </w:pict>
      </w:r>
    </w:p>
    <w:p/>
    <w:p/>
    <w:p/>
    <w:p>
      <w:r>
        <w:pict>
          <v:rect id="_x0000_s1065" o:spid="_x0000_s1065" o:spt="1" style="position:absolute;left:0pt;margin-left:86.25pt;margin-top:0.85pt;height:57pt;width:84pt;z-index:25171660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sz w:val="44"/>
                      <w:szCs w:val="44"/>
                    </w:rPr>
                    <w:t>门口</w:t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851" w:right="720" w:bottom="720" w:left="720" w:header="567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楷体" w:hAnsi="楷体" w:eastAsia="楷体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6D3992"/>
    <w:rsid w:val="00011A3E"/>
    <w:rsid w:val="00012E01"/>
    <w:rsid w:val="00015DF1"/>
    <w:rsid w:val="000325A4"/>
    <w:rsid w:val="00067882"/>
    <w:rsid w:val="000879F4"/>
    <w:rsid w:val="00095D27"/>
    <w:rsid w:val="000B3935"/>
    <w:rsid w:val="000D32CE"/>
    <w:rsid w:val="000D58D0"/>
    <w:rsid w:val="000E011F"/>
    <w:rsid w:val="001560D4"/>
    <w:rsid w:val="001866D8"/>
    <w:rsid w:val="001A4B24"/>
    <w:rsid w:val="001B7F61"/>
    <w:rsid w:val="001F0488"/>
    <w:rsid w:val="00212A6C"/>
    <w:rsid w:val="00216739"/>
    <w:rsid w:val="0022407E"/>
    <w:rsid w:val="0023113C"/>
    <w:rsid w:val="00247F73"/>
    <w:rsid w:val="002539C5"/>
    <w:rsid w:val="0027398E"/>
    <w:rsid w:val="002961DA"/>
    <w:rsid w:val="002B0BD6"/>
    <w:rsid w:val="002B1623"/>
    <w:rsid w:val="002B376F"/>
    <w:rsid w:val="002C4429"/>
    <w:rsid w:val="002E57F8"/>
    <w:rsid w:val="0032444C"/>
    <w:rsid w:val="00336299"/>
    <w:rsid w:val="003372EC"/>
    <w:rsid w:val="0037390D"/>
    <w:rsid w:val="00376971"/>
    <w:rsid w:val="003816DE"/>
    <w:rsid w:val="003D0E93"/>
    <w:rsid w:val="003D57C3"/>
    <w:rsid w:val="003D6E35"/>
    <w:rsid w:val="003E0AF9"/>
    <w:rsid w:val="003E2BB5"/>
    <w:rsid w:val="003F14BB"/>
    <w:rsid w:val="003F5652"/>
    <w:rsid w:val="00401264"/>
    <w:rsid w:val="00412D25"/>
    <w:rsid w:val="00420FA7"/>
    <w:rsid w:val="00422077"/>
    <w:rsid w:val="00432488"/>
    <w:rsid w:val="004522E7"/>
    <w:rsid w:val="0048582F"/>
    <w:rsid w:val="00494960"/>
    <w:rsid w:val="004B5FE3"/>
    <w:rsid w:val="004E251E"/>
    <w:rsid w:val="004E3C8A"/>
    <w:rsid w:val="00535E0D"/>
    <w:rsid w:val="00537FE6"/>
    <w:rsid w:val="005900BF"/>
    <w:rsid w:val="005A3BD1"/>
    <w:rsid w:val="005B6FFC"/>
    <w:rsid w:val="005C0359"/>
    <w:rsid w:val="005D085E"/>
    <w:rsid w:val="005F3474"/>
    <w:rsid w:val="005F3FA5"/>
    <w:rsid w:val="0062738A"/>
    <w:rsid w:val="00633BE3"/>
    <w:rsid w:val="00650BDD"/>
    <w:rsid w:val="0066672B"/>
    <w:rsid w:val="00680FE2"/>
    <w:rsid w:val="006D3992"/>
    <w:rsid w:val="006E57EE"/>
    <w:rsid w:val="00707939"/>
    <w:rsid w:val="00714C3D"/>
    <w:rsid w:val="00723873"/>
    <w:rsid w:val="00733AA7"/>
    <w:rsid w:val="00750E4F"/>
    <w:rsid w:val="007532FB"/>
    <w:rsid w:val="00764844"/>
    <w:rsid w:val="00767177"/>
    <w:rsid w:val="007823C8"/>
    <w:rsid w:val="007876BD"/>
    <w:rsid w:val="007A2736"/>
    <w:rsid w:val="007B03A6"/>
    <w:rsid w:val="007C18AE"/>
    <w:rsid w:val="007D2D6B"/>
    <w:rsid w:val="007D5CEC"/>
    <w:rsid w:val="00805A9A"/>
    <w:rsid w:val="00817F98"/>
    <w:rsid w:val="008346CA"/>
    <w:rsid w:val="0083729B"/>
    <w:rsid w:val="008450A6"/>
    <w:rsid w:val="00851B4A"/>
    <w:rsid w:val="008520BE"/>
    <w:rsid w:val="00882EEF"/>
    <w:rsid w:val="0089215F"/>
    <w:rsid w:val="00897491"/>
    <w:rsid w:val="008A2BD2"/>
    <w:rsid w:val="008A714E"/>
    <w:rsid w:val="008B28D4"/>
    <w:rsid w:val="008C24C3"/>
    <w:rsid w:val="008C530A"/>
    <w:rsid w:val="008D5CFF"/>
    <w:rsid w:val="008E1367"/>
    <w:rsid w:val="008F780C"/>
    <w:rsid w:val="009032E0"/>
    <w:rsid w:val="009132B1"/>
    <w:rsid w:val="00931BFF"/>
    <w:rsid w:val="009409B2"/>
    <w:rsid w:val="00944E31"/>
    <w:rsid w:val="00960BEE"/>
    <w:rsid w:val="00972D98"/>
    <w:rsid w:val="00995722"/>
    <w:rsid w:val="0099741E"/>
    <w:rsid w:val="009A4FA6"/>
    <w:rsid w:val="009B5644"/>
    <w:rsid w:val="009C0381"/>
    <w:rsid w:val="009C4F30"/>
    <w:rsid w:val="009C71A8"/>
    <w:rsid w:val="009E1E73"/>
    <w:rsid w:val="009E40B7"/>
    <w:rsid w:val="00A026B4"/>
    <w:rsid w:val="00A10B21"/>
    <w:rsid w:val="00A15242"/>
    <w:rsid w:val="00A26363"/>
    <w:rsid w:val="00A41838"/>
    <w:rsid w:val="00A67BC5"/>
    <w:rsid w:val="00A81B6D"/>
    <w:rsid w:val="00A846D4"/>
    <w:rsid w:val="00AA5016"/>
    <w:rsid w:val="00AB03AE"/>
    <w:rsid w:val="00AC45CE"/>
    <w:rsid w:val="00AC4F99"/>
    <w:rsid w:val="00AC6314"/>
    <w:rsid w:val="00AC6D94"/>
    <w:rsid w:val="00AE0743"/>
    <w:rsid w:val="00B17C99"/>
    <w:rsid w:val="00B26511"/>
    <w:rsid w:val="00B31CFA"/>
    <w:rsid w:val="00B3781B"/>
    <w:rsid w:val="00B43F46"/>
    <w:rsid w:val="00B65920"/>
    <w:rsid w:val="00B8370C"/>
    <w:rsid w:val="00B91D33"/>
    <w:rsid w:val="00BA443F"/>
    <w:rsid w:val="00BB2678"/>
    <w:rsid w:val="00BB38DA"/>
    <w:rsid w:val="00BD43F5"/>
    <w:rsid w:val="00BE32D6"/>
    <w:rsid w:val="00C01010"/>
    <w:rsid w:val="00C1664E"/>
    <w:rsid w:val="00C16B43"/>
    <w:rsid w:val="00C560D9"/>
    <w:rsid w:val="00C602A6"/>
    <w:rsid w:val="00C61CB8"/>
    <w:rsid w:val="00C665B9"/>
    <w:rsid w:val="00C707EA"/>
    <w:rsid w:val="00C9548C"/>
    <w:rsid w:val="00CA0679"/>
    <w:rsid w:val="00CE2E75"/>
    <w:rsid w:val="00D04C44"/>
    <w:rsid w:val="00D22610"/>
    <w:rsid w:val="00D4523B"/>
    <w:rsid w:val="00D5015E"/>
    <w:rsid w:val="00D51C0E"/>
    <w:rsid w:val="00D60B8C"/>
    <w:rsid w:val="00D72416"/>
    <w:rsid w:val="00D81933"/>
    <w:rsid w:val="00DA717E"/>
    <w:rsid w:val="00DF640C"/>
    <w:rsid w:val="00E2383C"/>
    <w:rsid w:val="00E60B00"/>
    <w:rsid w:val="00E85935"/>
    <w:rsid w:val="00E92930"/>
    <w:rsid w:val="00E9640B"/>
    <w:rsid w:val="00EA2687"/>
    <w:rsid w:val="00EB1ED8"/>
    <w:rsid w:val="00F03F67"/>
    <w:rsid w:val="00F13A43"/>
    <w:rsid w:val="00F16B8F"/>
    <w:rsid w:val="00F34611"/>
    <w:rsid w:val="00F45E76"/>
    <w:rsid w:val="00F63D18"/>
    <w:rsid w:val="00F63E3D"/>
    <w:rsid w:val="00FC5C7F"/>
    <w:rsid w:val="00FD176E"/>
    <w:rsid w:val="00FD24E7"/>
    <w:rsid w:val="01F116C9"/>
    <w:rsid w:val="029727FC"/>
    <w:rsid w:val="05D24B66"/>
    <w:rsid w:val="066F3D35"/>
    <w:rsid w:val="075E55E1"/>
    <w:rsid w:val="076F345B"/>
    <w:rsid w:val="077D0C37"/>
    <w:rsid w:val="07AB41FD"/>
    <w:rsid w:val="0E717D8C"/>
    <w:rsid w:val="14796161"/>
    <w:rsid w:val="168923D5"/>
    <w:rsid w:val="197520D6"/>
    <w:rsid w:val="1A0113B1"/>
    <w:rsid w:val="1A9017BF"/>
    <w:rsid w:val="1F650892"/>
    <w:rsid w:val="240B30B0"/>
    <w:rsid w:val="27530F11"/>
    <w:rsid w:val="2AEF6C57"/>
    <w:rsid w:val="2B0E1EF2"/>
    <w:rsid w:val="2C8B002A"/>
    <w:rsid w:val="2D050588"/>
    <w:rsid w:val="2F64220E"/>
    <w:rsid w:val="2F644AD0"/>
    <w:rsid w:val="38DF1B2A"/>
    <w:rsid w:val="3CBB1376"/>
    <w:rsid w:val="3E5B13B8"/>
    <w:rsid w:val="41805619"/>
    <w:rsid w:val="42515B1D"/>
    <w:rsid w:val="42E05372"/>
    <w:rsid w:val="45652B88"/>
    <w:rsid w:val="47F504F4"/>
    <w:rsid w:val="4846040F"/>
    <w:rsid w:val="4A0246C0"/>
    <w:rsid w:val="4DCE273B"/>
    <w:rsid w:val="4E2114CE"/>
    <w:rsid w:val="4E6C23A4"/>
    <w:rsid w:val="51167DFB"/>
    <w:rsid w:val="513623E7"/>
    <w:rsid w:val="560A7659"/>
    <w:rsid w:val="5CCB7ADA"/>
    <w:rsid w:val="5FE82721"/>
    <w:rsid w:val="62290831"/>
    <w:rsid w:val="644F123D"/>
    <w:rsid w:val="665D3DCE"/>
    <w:rsid w:val="67B04F57"/>
    <w:rsid w:val="78EF0B61"/>
    <w:rsid w:val="79330648"/>
    <w:rsid w:val="7BDC300C"/>
    <w:rsid w:val="7DDB5F37"/>
    <w:rsid w:val="7E5A796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99"/>
    <w:rPr>
      <w:rFonts w:ascii="Heiti SC Light" w:eastAsia="Times New Roman"/>
      <w:sz w:val="18"/>
      <w:szCs w:val="18"/>
    </w:rPr>
  </w:style>
  <w:style w:type="paragraph" w:styleId="3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7"/>
    <w:link w:val="2"/>
    <w:semiHidden/>
    <w:locked/>
    <w:uiPriority w:val="99"/>
    <w:rPr>
      <w:rFonts w:ascii="Heiti SC Light" w:hAnsi="Calibri" w:eastAsia="Times New Roman" w:cs="Times New Roman"/>
      <w:sz w:val="18"/>
      <w:szCs w:val="18"/>
    </w:rPr>
  </w:style>
  <w:style w:type="character" w:customStyle="1" w:styleId="11">
    <w:name w:val="页脚 Char"/>
    <w:basedOn w:val="7"/>
    <w:link w:val="3"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眉 Char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HTML 预设格式 Char"/>
    <w:basedOn w:val="7"/>
    <w:link w:val="5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4">
    <w:name w:val="页眉 Char1"/>
    <w:basedOn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List Paragraph1"/>
    <w:basedOn w:val="1"/>
    <w:qFormat/>
    <w:uiPriority w:val="99"/>
    <w:pPr>
      <w:ind w:firstLine="420" w:firstLineChars="200"/>
    </w:pPr>
  </w:style>
  <w:style w:type="paragraph" w:customStyle="1" w:styleId="16">
    <w:name w:val="No Spacing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0"/>
    <customShpInfo spid="_x0000_s1061"/>
    <customShpInfo spid="_x0000_s1064"/>
    <customShpInfo spid="_x0000_s1063"/>
    <customShpInfo spid="_x0000_s1062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238</Words>
  <Characters>1357</Characters>
  <Lines>11</Lines>
  <Paragraphs>3</Paragraphs>
  <TotalTime>0</TotalTime>
  <ScaleCrop>false</ScaleCrop>
  <LinksUpToDate>false</LinksUpToDate>
  <CharactersWithSpaces>1592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2016-11-23T08:09:00Z</dcterms:created>
  <dc:creator>Administrator</dc:creator>
  <cp:lastModifiedBy>Administrator</cp:lastModifiedBy>
  <dcterms:modified xsi:type="dcterms:W3CDTF">2017-01-14T05:09:03Z</dcterms:modified>
  <dc:title>（新龙园）大二班区域游戏计划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