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28"/>
          <w:szCs w:val="30"/>
        </w:rPr>
      </w:pPr>
      <w:r>
        <w:rPr>
          <w:rFonts w:hint="eastAsia"/>
          <w:b/>
          <w:bCs/>
          <w:sz w:val="28"/>
          <w:szCs w:val="30"/>
        </w:rPr>
        <w:t>《基于园本的童谣系列活动的开发与实践研究》课题观察记录</w:t>
      </w:r>
    </w:p>
    <w:tbl>
      <w:tblPr>
        <w:tblStyle w:val="3"/>
        <w:tblW w:w="8816" w:type="dxa"/>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740"/>
        <w:gridCol w:w="1065"/>
        <w:gridCol w:w="1377"/>
        <w:gridCol w:w="1413"/>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515" w:type="dxa"/>
            <w:shd w:val="clear" w:color="auto" w:fill="auto"/>
            <w:vAlign w:val="center"/>
          </w:tcPr>
          <w:p>
            <w:pPr>
              <w:spacing w:line="360" w:lineRule="auto"/>
              <w:jc w:val="center"/>
              <w:rPr>
                <w:b/>
                <w:bCs/>
                <w:sz w:val="20"/>
              </w:rPr>
            </w:pPr>
            <w:r>
              <w:rPr>
                <w:rFonts w:hint="eastAsia"/>
                <w:b/>
                <w:bCs/>
                <w:sz w:val="20"/>
              </w:rPr>
              <w:t>观察对象</w:t>
            </w:r>
          </w:p>
        </w:tc>
        <w:tc>
          <w:tcPr>
            <w:tcW w:w="1740" w:type="dxa"/>
            <w:shd w:val="clear" w:color="auto" w:fill="auto"/>
            <w:vAlign w:val="center"/>
          </w:tcPr>
          <w:p>
            <w:pPr>
              <w:spacing w:line="360" w:lineRule="auto"/>
              <w:jc w:val="center"/>
              <w:rPr>
                <w:rFonts w:hint="eastAsia"/>
                <w:sz w:val="20"/>
              </w:rPr>
            </w:pPr>
            <w:r>
              <w:rPr>
                <w:rFonts w:hint="eastAsia"/>
                <w:sz w:val="22"/>
              </w:rPr>
              <w:t>西苑</w:t>
            </w:r>
            <w:r>
              <w:rPr>
                <w:rFonts w:hint="eastAsia"/>
                <w:sz w:val="22"/>
                <w:lang w:val="en-US" w:eastAsia="zh-CN"/>
              </w:rPr>
              <w:t>中</w:t>
            </w:r>
            <w:r>
              <w:rPr>
                <w:rFonts w:hint="eastAsia"/>
                <w:sz w:val="22"/>
              </w:rPr>
              <w:t>六班全体幼儿</w:t>
            </w:r>
          </w:p>
        </w:tc>
        <w:tc>
          <w:tcPr>
            <w:tcW w:w="1065" w:type="dxa"/>
            <w:shd w:val="clear" w:color="auto" w:fill="auto"/>
            <w:vAlign w:val="center"/>
          </w:tcPr>
          <w:p>
            <w:pPr>
              <w:spacing w:line="360" w:lineRule="auto"/>
              <w:jc w:val="center"/>
              <w:rPr>
                <w:sz w:val="20"/>
              </w:rPr>
            </w:pPr>
            <w:r>
              <w:rPr>
                <w:rFonts w:hint="eastAsia"/>
                <w:b/>
                <w:bCs/>
                <w:sz w:val="20"/>
              </w:rPr>
              <w:t>班级</w:t>
            </w:r>
          </w:p>
        </w:tc>
        <w:tc>
          <w:tcPr>
            <w:tcW w:w="1377" w:type="dxa"/>
            <w:shd w:val="clear" w:color="auto" w:fill="auto"/>
            <w:vAlign w:val="center"/>
          </w:tcPr>
          <w:p>
            <w:pPr>
              <w:spacing w:line="360" w:lineRule="auto"/>
              <w:jc w:val="center"/>
              <w:rPr>
                <w:rFonts w:hint="eastAsia"/>
                <w:sz w:val="20"/>
              </w:rPr>
            </w:pPr>
            <w:r>
              <w:rPr>
                <w:rFonts w:hint="eastAsia"/>
                <w:sz w:val="22"/>
              </w:rPr>
              <w:t>西苑</w:t>
            </w:r>
            <w:r>
              <w:rPr>
                <w:rFonts w:hint="eastAsia"/>
                <w:sz w:val="22"/>
                <w:lang w:val="en-US" w:eastAsia="zh-CN"/>
              </w:rPr>
              <w:t>中</w:t>
            </w:r>
            <w:r>
              <w:rPr>
                <w:rFonts w:hint="eastAsia"/>
                <w:sz w:val="22"/>
              </w:rPr>
              <w:t>六班</w:t>
            </w:r>
          </w:p>
        </w:tc>
        <w:tc>
          <w:tcPr>
            <w:tcW w:w="1413" w:type="dxa"/>
            <w:shd w:val="clear" w:color="auto" w:fill="auto"/>
            <w:vAlign w:val="center"/>
          </w:tcPr>
          <w:p>
            <w:pPr>
              <w:spacing w:line="360" w:lineRule="auto"/>
              <w:jc w:val="center"/>
              <w:rPr>
                <w:b/>
                <w:bCs/>
                <w:sz w:val="20"/>
              </w:rPr>
            </w:pPr>
            <w:r>
              <w:rPr>
                <w:rFonts w:hint="eastAsia"/>
                <w:b/>
                <w:bCs/>
                <w:sz w:val="20"/>
              </w:rPr>
              <w:t>时间</w:t>
            </w:r>
          </w:p>
        </w:tc>
        <w:tc>
          <w:tcPr>
            <w:tcW w:w="1706" w:type="dxa"/>
            <w:shd w:val="clear" w:color="auto" w:fill="auto"/>
            <w:vAlign w:val="center"/>
          </w:tcPr>
          <w:p>
            <w:pPr>
              <w:spacing w:line="360" w:lineRule="auto"/>
              <w:jc w:val="center"/>
              <w:rPr>
                <w:rFonts w:hint="eastAsia" w:eastAsia="宋体"/>
                <w:sz w:val="20"/>
                <w:lang w:val="en-US" w:eastAsia="zh-CN"/>
              </w:rPr>
            </w:pPr>
            <w:r>
              <w:rPr>
                <w:rFonts w:hint="eastAsia"/>
                <w:sz w:val="22"/>
              </w:rPr>
              <w:t>2018.</w:t>
            </w:r>
            <w:r>
              <w:rPr>
                <w:rFonts w:hint="eastAsia"/>
                <w:sz w:val="22"/>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515" w:type="dxa"/>
            <w:shd w:val="clear" w:color="auto" w:fill="auto"/>
            <w:vAlign w:val="center"/>
          </w:tcPr>
          <w:p>
            <w:pPr>
              <w:spacing w:line="360" w:lineRule="auto"/>
              <w:jc w:val="center"/>
              <w:rPr>
                <w:b/>
                <w:bCs/>
                <w:sz w:val="20"/>
              </w:rPr>
            </w:pPr>
            <w:r>
              <w:rPr>
                <w:rFonts w:hint="eastAsia"/>
                <w:b/>
                <w:bCs/>
                <w:sz w:val="20"/>
              </w:rPr>
              <w:t>观察课题内容</w:t>
            </w:r>
          </w:p>
        </w:tc>
        <w:tc>
          <w:tcPr>
            <w:tcW w:w="4182" w:type="dxa"/>
            <w:gridSpan w:val="3"/>
            <w:shd w:val="clear" w:color="auto" w:fill="auto"/>
            <w:vAlign w:val="center"/>
          </w:tcPr>
          <w:p>
            <w:pPr>
              <w:spacing w:line="360" w:lineRule="auto"/>
              <w:jc w:val="center"/>
              <w:rPr>
                <w:rFonts w:hint="eastAsia"/>
                <w:sz w:val="20"/>
              </w:rPr>
            </w:pPr>
            <w:r>
              <w:rPr>
                <w:rFonts w:hint="eastAsia"/>
                <w:sz w:val="22"/>
              </w:rPr>
              <w:t>《</w:t>
            </w:r>
            <w:r>
              <w:rPr>
                <w:rFonts w:hint="eastAsia"/>
                <w:sz w:val="22"/>
                <w:lang w:val="en-US" w:eastAsia="zh-CN"/>
              </w:rPr>
              <w:t>亮嬷嬷</w:t>
            </w:r>
            <w:r>
              <w:rPr>
                <w:rFonts w:hint="eastAsia"/>
                <w:sz w:val="22"/>
              </w:rPr>
              <w:t>》课程中幼儿的整体表现</w:t>
            </w:r>
          </w:p>
        </w:tc>
        <w:tc>
          <w:tcPr>
            <w:tcW w:w="1413" w:type="dxa"/>
            <w:shd w:val="clear" w:color="auto" w:fill="auto"/>
            <w:vAlign w:val="center"/>
          </w:tcPr>
          <w:p>
            <w:pPr>
              <w:spacing w:line="360" w:lineRule="auto"/>
              <w:jc w:val="center"/>
              <w:rPr>
                <w:b/>
                <w:bCs/>
                <w:sz w:val="20"/>
              </w:rPr>
            </w:pPr>
            <w:r>
              <w:rPr>
                <w:rFonts w:hint="eastAsia"/>
                <w:b/>
                <w:bCs/>
                <w:sz w:val="20"/>
              </w:rPr>
              <w:t>观察者</w:t>
            </w:r>
          </w:p>
        </w:tc>
        <w:tc>
          <w:tcPr>
            <w:tcW w:w="1706" w:type="dxa"/>
            <w:shd w:val="clear" w:color="auto" w:fill="auto"/>
            <w:vAlign w:val="center"/>
          </w:tcPr>
          <w:p>
            <w:pPr>
              <w:spacing w:line="360" w:lineRule="auto"/>
              <w:jc w:val="center"/>
              <w:rPr>
                <w:rFonts w:hint="eastAsia" w:eastAsia="宋体"/>
                <w:sz w:val="20"/>
                <w:lang w:val="en-US" w:eastAsia="zh-CN"/>
              </w:rPr>
            </w:pPr>
            <w:r>
              <w:rPr>
                <w:rFonts w:hint="eastAsia"/>
                <w:sz w:val="20"/>
                <w:lang w:val="en-US" w:eastAsia="zh-CN"/>
              </w:rPr>
              <w:t>赵亚维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4" w:hRule="atLeast"/>
        </w:trPr>
        <w:tc>
          <w:tcPr>
            <w:tcW w:w="1515" w:type="dxa"/>
            <w:shd w:val="clear" w:color="auto" w:fill="auto"/>
            <w:vAlign w:val="center"/>
          </w:tcPr>
          <w:p>
            <w:pPr>
              <w:spacing w:line="360" w:lineRule="auto"/>
              <w:jc w:val="center"/>
              <w:rPr>
                <w:b/>
                <w:bCs/>
                <w:sz w:val="20"/>
              </w:rPr>
            </w:pPr>
            <w:r>
              <w:rPr>
                <w:rFonts w:hint="eastAsia"/>
                <w:b/>
                <w:bCs/>
                <w:sz w:val="20"/>
              </w:rPr>
              <w:t>过程实录</w:t>
            </w:r>
          </w:p>
          <w:p>
            <w:pPr>
              <w:spacing w:line="360" w:lineRule="auto"/>
              <w:jc w:val="center"/>
              <w:rPr>
                <w:b/>
                <w:bCs/>
                <w:sz w:val="20"/>
              </w:rPr>
            </w:pPr>
            <w:r>
              <w:rPr>
                <w:rFonts w:hint="eastAsia"/>
                <w:b/>
                <w:bCs/>
                <w:sz w:val="20"/>
              </w:rPr>
              <w:t>即</w:t>
            </w:r>
          </w:p>
          <w:p>
            <w:pPr>
              <w:spacing w:line="360" w:lineRule="auto"/>
              <w:jc w:val="center"/>
              <w:rPr>
                <w:b/>
                <w:bCs/>
                <w:sz w:val="20"/>
              </w:rPr>
            </w:pPr>
            <w:r>
              <w:rPr>
                <w:rFonts w:hint="eastAsia"/>
                <w:b/>
                <w:bCs/>
                <w:sz w:val="20"/>
              </w:rPr>
              <w:t>(精彩片段——指向幼儿)</w:t>
            </w:r>
          </w:p>
          <w:p>
            <w:pPr>
              <w:spacing w:line="360" w:lineRule="auto"/>
              <w:jc w:val="center"/>
              <w:rPr>
                <w:sz w:val="20"/>
              </w:rPr>
            </w:pPr>
            <w:r>
              <w:rPr>
                <w:rFonts w:hint="eastAsia"/>
                <w:sz w:val="20"/>
              </w:rPr>
              <w:t>（可附照片）</w:t>
            </w:r>
          </w:p>
        </w:tc>
        <w:tc>
          <w:tcPr>
            <w:tcW w:w="7301" w:type="dxa"/>
            <w:gridSpan w:val="5"/>
            <w:shd w:val="clear" w:color="auto" w:fill="auto"/>
          </w:tcPr>
          <w:p>
            <w:pPr>
              <w:snapToGrid w:val="0"/>
              <w:spacing w:line="360" w:lineRule="auto"/>
              <w:contextualSpacing/>
              <w:rPr>
                <w:rFonts w:hint="eastAsia" w:ascii="Songti SC" w:hAnsi="Songti SC" w:eastAsia="Songti SC"/>
                <w:sz w:val="22"/>
                <w:szCs w:val="28"/>
              </w:rPr>
            </w:pPr>
            <w:r>
              <w:rPr>
                <w:rFonts w:hint="eastAsia" w:ascii="Songti SC" w:hAnsi="Songti SC" w:eastAsia="Songti SC"/>
                <w:sz w:val="22"/>
                <w:szCs w:val="28"/>
                <w:lang w:val="en-US" w:eastAsia="zh-CN"/>
              </w:rPr>
              <w:t>《亮嬷嬷》是常州童谣，作为优秀的地方传统文化，承载着常州厚重的历史与文明，它以方言传颂的形式展示着常州民众的民生生活与文化，具有独特的地域文化价值</w:t>
            </w:r>
            <w:r>
              <w:rPr>
                <w:rFonts w:hint="eastAsia" w:ascii="Songti SC" w:hAnsi="Songti SC" w:eastAsia="Songti SC"/>
                <w:sz w:val="22"/>
                <w:szCs w:val="28"/>
              </w:rPr>
              <w:t>。通过学习《</w:t>
            </w:r>
            <w:r>
              <w:rPr>
                <w:rFonts w:hint="eastAsia" w:ascii="Songti SC" w:hAnsi="Songti SC" w:eastAsia="Songti SC"/>
                <w:sz w:val="22"/>
                <w:szCs w:val="28"/>
                <w:lang w:val="en-US" w:eastAsia="zh-CN"/>
              </w:rPr>
              <w:t>亮嬷嬷</w:t>
            </w:r>
            <w:r>
              <w:rPr>
                <w:rFonts w:hint="eastAsia" w:ascii="Songti SC" w:hAnsi="Songti SC" w:eastAsia="Songti SC"/>
                <w:sz w:val="22"/>
                <w:szCs w:val="28"/>
              </w:rPr>
              <w:t>》让幼儿体会民间童谣的特点。培养幼儿的语言表达能力。</w:t>
            </w:r>
          </w:p>
          <w:p>
            <w:pPr>
              <w:snapToGrid w:val="0"/>
              <w:spacing w:line="360" w:lineRule="auto"/>
              <w:contextualSpacing/>
              <w:rPr>
                <w:rFonts w:hint="eastAsia" w:ascii="Songti SC" w:hAnsi="Songti SC" w:eastAsia="Songti SC"/>
                <w:sz w:val="22"/>
                <w:szCs w:val="28"/>
                <w:lang w:val="en-US" w:eastAsia="zh-CN"/>
              </w:rPr>
            </w:pPr>
            <w:r>
              <w:rPr>
                <w:rFonts w:hint="eastAsia" w:ascii="Songti SC" w:hAnsi="Songti SC" w:eastAsia="Songti SC"/>
                <w:sz w:val="22"/>
                <w:szCs w:val="28"/>
                <w:lang w:val="en-US" w:eastAsia="zh-CN"/>
              </w:rPr>
              <w:t>通过讲方言打招呼让孩子知道我们是生活在常州的常州人，请会说常州话的小朋友介绍一下自己从而让孩子们对常州话产生浓烈的兴趣。老师完整示范方言版的《亮嬷嬷》让孩子们听一听，说一说都听到了什么。孩子们能够基本听懂并说出听到的内容。展示《亮嬷嬷》的图片，让孩子们能够跟着图片说一说童谣。徐梓钰小朋友通过图片展示很快就学会了这首童谣，她主动举手，指着图片完整的把童谣说出来了，不会说常州话的小朋友也会用普通话来念童谣。</w:t>
            </w:r>
          </w:p>
          <w:p>
            <w:pPr>
              <w:snapToGrid w:val="0"/>
              <w:spacing w:line="360" w:lineRule="auto"/>
              <w:contextualSpacing/>
              <w:rPr>
                <w:rFonts w:ascii="Songti SC" w:hAnsi="Songti SC" w:eastAsia="Songti SC"/>
                <w:sz w:val="22"/>
                <w:szCs w:val="28"/>
              </w:rPr>
            </w:pPr>
            <w:r>
              <w:rPr>
                <w:rFonts w:ascii="Songti SC" w:hAnsi="Songti SC" w:eastAsia="Songti SC"/>
                <w:sz w:val="22"/>
                <w:szCs w:val="28"/>
              </w:rPr>
              <w:t xml:space="preserve"> </w:t>
            </w:r>
            <w:r>
              <w:rPr>
                <w:rFonts w:hint="eastAsia" w:ascii="Songti SC" w:hAnsi="Songti SC" w:eastAsia="Songti SC"/>
                <w:sz w:val="22"/>
                <w:szCs w:val="28"/>
              </w:rPr>
              <w:drawing>
                <wp:inline distT="0" distB="0" distL="0" distR="0">
                  <wp:extent cx="2170430" cy="1629410"/>
                  <wp:effectExtent l="0" t="0" r="1270" b="8890"/>
                  <wp:docPr id="7" name="图片 7" descr="C:\Users\zhao\Desktop\188628D9AFCE91CFDC98C6DE1AC249AB.png188628D9AFCE91CFDC98C6DE1AC24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hao\Desktop\188628D9AFCE91CFDC98C6DE1AC249AB.png188628D9AFCE91CFDC98C6DE1AC249AB"/>
                          <pic:cNvPicPr>
                            <a:picLocks noChangeAspect="1" noChangeArrowheads="1"/>
                          </pic:cNvPicPr>
                        </pic:nvPicPr>
                        <pic:blipFill>
                          <a:blip r:embed="rId4"/>
                          <a:srcRect/>
                          <a:stretch>
                            <a:fillRect/>
                          </a:stretch>
                        </pic:blipFill>
                        <pic:spPr>
                          <a:xfrm>
                            <a:off x="0" y="0"/>
                            <a:ext cx="2170430" cy="1633343"/>
                          </a:xfrm>
                          <a:prstGeom prst="rect">
                            <a:avLst/>
                          </a:prstGeom>
                          <a:noFill/>
                          <a:ln>
                            <a:noFill/>
                          </a:ln>
                        </pic:spPr>
                      </pic:pic>
                    </a:graphicData>
                  </a:graphic>
                </wp:inline>
              </w:drawing>
            </w:r>
            <w:r>
              <w:rPr>
                <w:rFonts w:ascii="Songti SC" w:hAnsi="Songti SC" w:eastAsia="Songti SC"/>
                <w:sz w:val="22"/>
                <w:szCs w:val="28"/>
              </w:rPr>
              <w:t xml:space="preserve"> </w:t>
            </w:r>
            <w:r>
              <w:rPr>
                <w:rFonts w:hint="eastAsia" w:ascii="Songti SC" w:hAnsi="Songti SC" w:eastAsia="Songti SC"/>
                <w:sz w:val="22"/>
                <w:szCs w:val="28"/>
              </w:rPr>
              <w:drawing>
                <wp:inline distT="0" distB="0" distL="0" distR="0">
                  <wp:extent cx="2122805" cy="1593215"/>
                  <wp:effectExtent l="0" t="0" r="10795" b="6985"/>
                  <wp:docPr id="6" name="图片 6" descr="C:\Users\zhao\Desktop\4DCFCB2061EA6B6D59B8BAC3D8949724.png4DCFCB2061EA6B6D59B8BAC3D894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hao\Desktop\4DCFCB2061EA6B6D59B8BAC3D8949724.png4DCFCB2061EA6B6D59B8BAC3D8949724"/>
                          <pic:cNvPicPr>
                            <a:picLocks noChangeAspect="1" noChangeArrowheads="1"/>
                          </pic:cNvPicPr>
                        </pic:nvPicPr>
                        <pic:blipFill>
                          <a:blip r:embed="rId5"/>
                          <a:srcRect/>
                          <a:stretch>
                            <a:fillRect/>
                          </a:stretch>
                        </pic:blipFill>
                        <pic:spPr>
                          <a:xfrm>
                            <a:off x="0" y="0"/>
                            <a:ext cx="2122805" cy="1595313"/>
                          </a:xfrm>
                          <a:prstGeom prst="rect">
                            <a:avLst/>
                          </a:prstGeom>
                          <a:noFill/>
                          <a:ln>
                            <a:noFill/>
                          </a:ln>
                        </pic:spPr>
                      </pic:pic>
                    </a:graphicData>
                  </a:graphic>
                </wp:inline>
              </w:drawing>
            </w:r>
          </w:p>
          <w:p>
            <w:pPr>
              <w:snapToGrid w:val="0"/>
              <w:spacing w:line="360" w:lineRule="auto"/>
              <w:contextualSpacing/>
              <w:rPr>
                <w:rFonts w:ascii="Songti SC" w:hAnsi="Songti SC" w:eastAsia="Songti SC"/>
                <w:sz w:val="22"/>
                <w:szCs w:val="28"/>
              </w:rPr>
            </w:pPr>
            <w:r>
              <w:rPr>
                <w:rFonts w:ascii="Songti SC" w:hAnsi="Songti SC" w:eastAsia="Songti SC"/>
                <w:sz w:val="22"/>
                <w:szCs w:val="28"/>
              </w:rPr>
              <w:t xml:space="preserve">  </w:t>
            </w:r>
            <w:r>
              <w:rPr>
                <w:rFonts w:hint="eastAsia" w:ascii="Songti SC" w:hAnsi="Songti SC" w:eastAsia="Songti SC"/>
                <w:sz w:val="22"/>
                <w:szCs w:val="28"/>
              </w:rPr>
              <w:drawing>
                <wp:inline distT="0" distB="0" distL="0" distR="0">
                  <wp:extent cx="2032000" cy="1524635"/>
                  <wp:effectExtent l="0" t="0" r="6350" b="18415"/>
                  <wp:docPr id="9" name="图片 9" descr="C:\Users\zhao\Desktop\FACD52AEB86B8F1813861B5F663F4AE2.pngFACD52AEB86B8F1813861B5F663F4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hao\Desktop\FACD52AEB86B8F1813861B5F663F4AE2.pngFACD52AEB86B8F1813861B5F663F4AE2"/>
                          <pic:cNvPicPr>
                            <a:picLocks noChangeAspect="1" noChangeArrowheads="1"/>
                          </pic:cNvPicPr>
                        </pic:nvPicPr>
                        <pic:blipFill>
                          <a:blip r:embed="rId6"/>
                          <a:srcRect/>
                          <a:stretch>
                            <a:fillRect/>
                          </a:stretch>
                        </pic:blipFill>
                        <pic:spPr>
                          <a:xfrm>
                            <a:off x="0" y="0"/>
                            <a:ext cx="2032000" cy="1524635"/>
                          </a:xfrm>
                          <a:prstGeom prst="rect">
                            <a:avLst/>
                          </a:prstGeom>
                          <a:noFill/>
                          <a:ln>
                            <a:noFill/>
                          </a:ln>
                        </pic:spPr>
                      </pic:pic>
                    </a:graphicData>
                  </a:graphic>
                </wp:inline>
              </w:drawing>
            </w:r>
            <w:r>
              <w:rPr>
                <w:rFonts w:ascii="Songti SC" w:hAnsi="Songti SC" w:eastAsia="Songti SC"/>
                <w:sz w:val="22"/>
                <w:szCs w:val="28"/>
              </w:rPr>
              <w:t xml:space="preserve"> </w:t>
            </w:r>
            <w:r>
              <w:rPr>
                <w:rFonts w:hint="eastAsia" w:ascii="Songti SC" w:hAnsi="Songti SC" w:eastAsia="Songti SC"/>
                <w:sz w:val="22"/>
                <w:szCs w:val="28"/>
              </w:rPr>
              <w:drawing>
                <wp:inline distT="0" distB="0" distL="0" distR="0">
                  <wp:extent cx="2098675" cy="1574800"/>
                  <wp:effectExtent l="0" t="0" r="15875" b="6350"/>
                  <wp:docPr id="8" name="图片 8" descr="C:\Users\zhao\Desktop\EE30ED680185C4EF473CC51048365532.pngEE30ED680185C4EF473CC5104836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ao\Desktop\EE30ED680185C4EF473CC51048365532.pngEE30ED680185C4EF473CC51048365532"/>
                          <pic:cNvPicPr>
                            <a:picLocks noChangeAspect="1" noChangeArrowheads="1"/>
                          </pic:cNvPicPr>
                        </pic:nvPicPr>
                        <pic:blipFill>
                          <a:blip r:embed="rId7"/>
                          <a:srcRect/>
                          <a:stretch>
                            <a:fillRect/>
                          </a:stretch>
                        </pic:blipFill>
                        <pic:spPr>
                          <a:xfrm>
                            <a:off x="0" y="0"/>
                            <a:ext cx="2098675" cy="1574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2" w:hRule="atLeast"/>
        </w:trPr>
        <w:tc>
          <w:tcPr>
            <w:tcW w:w="1515" w:type="dxa"/>
            <w:shd w:val="clear" w:color="auto" w:fill="auto"/>
            <w:vAlign w:val="center"/>
          </w:tcPr>
          <w:p>
            <w:pPr>
              <w:spacing w:line="360" w:lineRule="auto"/>
              <w:jc w:val="center"/>
              <w:rPr>
                <w:b/>
                <w:bCs/>
                <w:sz w:val="20"/>
              </w:rPr>
            </w:pPr>
            <w:r>
              <w:rPr>
                <w:rFonts w:hint="eastAsia"/>
                <w:b/>
                <w:bCs/>
                <w:sz w:val="20"/>
              </w:rPr>
              <w:t>活动过程</w:t>
            </w:r>
          </w:p>
          <w:p>
            <w:pPr>
              <w:spacing w:line="360" w:lineRule="auto"/>
              <w:jc w:val="center"/>
              <w:rPr>
                <w:b/>
                <w:bCs/>
                <w:sz w:val="20"/>
              </w:rPr>
            </w:pPr>
            <w:r>
              <w:rPr>
                <w:rFonts w:hint="eastAsia"/>
                <w:b/>
                <w:bCs/>
                <w:sz w:val="20"/>
              </w:rPr>
              <w:t>观察分析</w:t>
            </w:r>
          </w:p>
          <w:p>
            <w:pPr>
              <w:spacing w:line="360" w:lineRule="auto"/>
              <w:jc w:val="center"/>
              <w:rPr>
                <w:sz w:val="20"/>
              </w:rPr>
            </w:pPr>
            <w:r>
              <w:rPr>
                <w:rFonts w:hint="eastAsia"/>
                <w:sz w:val="20"/>
              </w:rPr>
              <w:t>（重点指向语言、艺术、行为方面的发展）</w:t>
            </w:r>
          </w:p>
        </w:tc>
        <w:tc>
          <w:tcPr>
            <w:tcW w:w="7301" w:type="dxa"/>
            <w:gridSpan w:val="5"/>
            <w:shd w:val="clear" w:color="auto" w:fill="auto"/>
          </w:tcPr>
          <w:p>
            <w:pPr>
              <w:tabs>
                <w:tab w:val="left" w:pos="1695"/>
              </w:tabs>
              <w:snapToGrid w:val="0"/>
              <w:spacing w:line="360" w:lineRule="auto"/>
              <w:contextualSpacing/>
              <w:rPr>
                <w:rFonts w:ascii="Songti SC" w:hAnsi="Songti SC" w:eastAsia="Songti SC"/>
                <w:sz w:val="22"/>
                <w:szCs w:val="28"/>
              </w:rPr>
            </w:pPr>
            <w:r>
              <w:rPr>
                <w:rFonts w:ascii="Songti SC" w:hAnsi="Songti SC" w:eastAsia="Songti SC"/>
                <w:sz w:val="22"/>
                <w:szCs w:val="28"/>
              </w:rPr>
              <w:t>语言领域：</w:t>
            </w:r>
          </w:p>
          <w:p>
            <w:pPr>
              <w:tabs>
                <w:tab w:val="left" w:pos="1695"/>
              </w:tabs>
              <w:snapToGrid w:val="0"/>
              <w:spacing w:line="360" w:lineRule="auto"/>
              <w:contextualSpacing/>
              <w:rPr>
                <w:rFonts w:ascii="Songti SC" w:hAnsi="Songti SC" w:eastAsia="Songti SC"/>
                <w:sz w:val="22"/>
                <w:szCs w:val="28"/>
              </w:rPr>
            </w:pPr>
            <w:r>
              <w:rPr>
                <w:rFonts w:hint="eastAsia" w:ascii="Songti SC" w:hAnsi="Songti SC" w:eastAsia="Songti SC"/>
                <w:sz w:val="22"/>
                <w:szCs w:val="28"/>
              </w:rPr>
              <w:t>1、别人</w:t>
            </w:r>
            <w:r>
              <w:rPr>
                <w:rFonts w:ascii="Songti SC" w:hAnsi="Songti SC" w:eastAsia="Songti SC"/>
                <w:sz w:val="22"/>
                <w:szCs w:val="28"/>
              </w:rPr>
              <w:t>在对自己说话时，</w:t>
            </w:r>
            <w:r>
              <w:rPr>
                <w:rFonts w:hint="eastAsia" w:ascii="Songti SC" w:hAnsi="Songti SC" w:eastAsia="Songti SC"/>
                <w:sz w:val="22"/>
                <w:szCs w:val="28"/>
              </w:rPr>
              <w:t>注意听</w:t>
            </w:r>
            <w:r>
              <w:rPr>
                <w:rFonts w:ascii="Songti SC" w:hAnsi="Songti SC" w:eastAsia="Songti SC"/>
                <w:sz w:val="22"/>
                <w:szCs w:val="28"/>
              </w:rPr>
              <w:t>并能作出回应。</w:t>
            </w:r>
          </w:p>
          <w:p>
            <w:pPr>
              <w:tabs>
                <w:tab w:val="left" w:pos="1695"/>
              </w:tabs>
              <w:snapToGrid w:val="0"/>
              <w:spacing w:line="360" w:lineRule="auto"/>
              <w:contextualSpacing/>
              <w:rPr>
                <w:rFonts w:ascii="Songti SC" w:hAnsi="Songti SC" w:eastAsia="Songti SC"/>
                <w:sz w:val="22"/>
                <w:szCs w:val="28"/>
              </w:rPr>
            </w:pPr>
            <w:r>
              <w:rPr>
                <w:rFonts w:hint="eastAsia" w:ascii="Songti SC" w:hAnsi="Songti SC" w:eastAsia="Songti SC"/>
                <w:sz w:val="22"/>
                <w:szCs w:val="28"/>
              </w:rPr>
              <w:t>2、能</w:t>
            </w:r>
            <w:r>
              <w:rPr>
                <w:rFonts w:ascii="Songti SC" w:hAnsi="Songti SC" w:eastAsia="Songti SC"/>
                <w:sz w:val="22"/>
                <w:szCs w:val="28"/>
              </w:rPr>
              <w:t>口齿清楚的说儿歌、</w:t>
            </w:r>
            <w:r>
              <w:rPr>
                <w:rFonts w:hint="eastAsia" w:ascii="Songti SC" w:hAnsi="Songti SC" w:eastAsia="Songti SC"/>
                <w:sz w:val="22"/>
                <w:szCs w:val="28"/>
              </w:rPr>
              <w:t>童谣</w:t>
            </w:r>
            <w:r>
              <w:rPr>
                <w:rFonts w:ascii="Songti SC" w:hAnsi="Songti SC" w:eastAsia="Songti SC"/>
                <w:sz w:val="22"/>
                <w:szCs w:val="28"/>
              </w:rPr>
              <w:t>。</w:t>
            </w:r>
          </w:p>
          <w:p>
            <w:pPr>
              <w:snapToGrid w:val="0"/>
              <w:spacing w:line="360" w:lineRule="auto"/>
              <w:contextualSpacing/>
              <w:rPr>
                <w:rFonts w:ascii="Songti SC" w:hAnsi="Songti SC" w:eastAsia="Songti SC"/>
                <w:sz w:val="22"/>
                <w:szCs w:val="28"/>
              </w:rPr>
            </w:pPr>
            <w:r>
              <w:rPr>
                <w:rFonts w:hint="eastAsia" w:ascii="Songti SC" w:hAnsi="Songti SC" w:eastAsia="Songti SC"/>
                <w:sz w:val="22"/>
                <w:szCs w:val="28"/>
              </w:rPr>
              <w:t>健康领域</w:t>
            </w:r>
            <w:r>
              <w:rPr>
                <w:rFonts w:ascii="Songti SC" w:hAnsi="Songti SC" w:eastAsia="Songti SC"/>
                <w:sz w:val="22"/>
                <w:szCs w:val="28"/>
              </w:rPr>
              <w:t>：情绪比较稳定，很少</w:t>
            </w:r>
            <w:r>
              <w:rPr>
                <w:rFonts w:hint="eastAsia" w:ascii="Songti SC" w:hAnsi="Songti SC" w:eastAsia="Songti SC"/>
                <w:sz w:val="22"/>
                <w:szCs w:val="28"/>
              </w:rPr>
              <w:t>因</w:t>
            </w:r>
            <w:r>
              <w:rPr>
                <w:rFonts w:ascii="Songti SC" w:hAnsi="Songti SC" w:eastAsia="Songti SC"/>
                <w:sz w:val="22"/>
                <w:szCs w:val="28"/>
              </w:rPr>
              <w:t>一点小事哭闹不止。</w:t>
            </w:r>
          </w:p>
          <w:p>
            <w:pPr>
              <w:snapToGrid w:val="0"/>
              <w:spacing w:line="360" w:lineRule="auto"/>
              <w:contextualSpacing/>
              <w:rPr>
                <w:rFonts w:ascii="Songti SC" w:hAnsi="Songti SC" w:eastAsia="Songti SC"/>
                <w:sz w:val="22"/>
                <w:szCs w:val="28"/>
              </w:rPr>
            </w:pPr>
            <w:r>
              <w:rPr>
                <w:rFonts w:hint="eastAsia" w:ascii="Songti SC" w:hAnsi="Songti SC" w:eastAsia="Songti SC"/>
                <w:sz w:val="22"/>
                <w:szCs w:val="28"/>
              </w:rPr>
              <w:t>科学</w:t>
            </w:r>
            <w:r>
              <w:rPr>
                <w:rFonts w:ascii="Songti SC" w:hAnsi="Songti SC" w:eastAsia="Songti SC"/>
                <w:sz w:val="22"/>
                <w:szCs w:val="28"/>
              </w:rPr>
              <w:t>领域：喜欢接触大自然，</w:t>
            </w:r>
            <w:r>
              <w:rPr>
                <w:rFonts w:hint="eastAsia" w:ascii="Songti SC" w:hAnsi="Songti SC" w:eastAsia="Songti SC"/>
                <w:sz w:val="22"/>
                <w:szCs w:val="28"/>
              </w:rPr>
              <w:t>并对</w:t>
            </w:r>
            <w:r>
              <w:rPr>
                <w:rFonts w:ascii="Songti SC" w:hAnsi="Songti SC" w:eastAsia="Songti SC"/>
                <w:sz w:val="22"/>
                <w:szCs w:val="28"/>
              </w:rPr>
              <w:t>大自然的事物感兴趣。</w:t>
            </w:r>
          </w:p>
          <w:p>
            <w:pPr>
              <w:snapToGrid w:val="0"/>
              <w:spacing w:line="360" w:lineRule="auto"/>
              <w:contextualSpacing/>
              <w:rPr>
                <w:rFonts w:ascii="Songti SC" w:hAnsi="Songti SC" w:eastAsia="Songti SC"/>
                <w:sz w:val="22"/>
                <w:szCs w:val="28"/>
              </w:rPr>
            </w:pPr>
            <w:r>
              <w:rPr>
                <w:rFonts w:ascii="Songti SC" w:hAnsi="Songti SC" w:eastAsia="Songti SC"/>
                <w:sz w:val="22"/>
                <w:szCs w:val="28"/>
              </w:rPr>
              <w:t>分析：</w:t>
            </w:r>
          </w:p>
          <w:p>
            <w:pPr>
              <w:snapToGrid w:val="0"/>
              <w:spacing w:line="360" w:lineRule="auto"/>
              <w:contextualSpacing/>
              <w:rPr>
                <w:rFonts w:hint="eastAsia" w:ascii="Songti SC" w:hAnsi="Songti SC" w:eastAsia="Songti SC"/>
                <w:sz w:val="22"/>
                <w:szCs w:val="28"/>
                <w:lang w:val="en-US" w:eastAsia="zh-CN"/>
              </w:rPr>
            </w:pPr>
            <w:r>
              <w:rPr>
                <w:rFonts w:hint="eastAsia" w:ascii="Songti SC" w:hAnsi="Songti SC" w:eastAsia="Songti SC"/>
                <w:sz w:val="22"/>
                <w:szCs w:val="28"/>
              </w:rPr>
              <w:t>1、由于</w:t>
            </w:r>
            <w:r>
              <w:rPr>
                <w:rFonts w:hint="eastAsia" w:ascii="Songti SC" w:hAnsi="Songti SC" w:eastAsia="Songti SC"/>
                <w:sz w:val="22"/>
                <w:szCs w:val="28"/>
                <w:lang w:val="en-US" w:eastAsia="zh-CN"/>
              </w:rPr>
              <w:t>有些孩子不是常州人，家庭中不讲常州话，在用方言讲述童谣时有些孩子并不能很好的理解，需要配合普通话来让所有孩子都参与进来。在最后所有小朋友都学会了这首童谣，有些不会方言的小朋友也学会了方言。</w:t>
            </w:r>
          </w:p>
          <w:p>
            <w:pPr>
              <w:snapToGrid w:val="0"/>
              <w:spacing w:line="360" w:lineRule="auto"/>
              <w:contextualSpacing/>
              <w:rPr>
                <w:rFonts w:hint="eastAsia" w:ascii="Songti SC" w:hAnsi="Songti SC" w:eastAsia="Songti SC"/>
                <w:sz w:val="22"/>
                <w:szCs w:val="28"/>
                <w:lang w:val="en-US" w:eastAsia="zh-CN"/>
              </w:rPr>
            </w:pPr>
            <w:r>
              <w:rPr>
                <w:rFonts w:ascii="Songti SC" w:hAnsi="Songti SC" w:eastAsia="Songti SC"/>
                <w:sz w:val="22"/>
                <w:szCs w:val="28"/>
              </w:rPr>
              <w:t>2、</w:t>
            </w:r>
            <w:r>
              <w:rPr>
                <w:rFonts w:hint="eastAsia" w:ascii="Songti SC" w:hAnsi="Songti SC" w:eastAsia="Songti SC"/>
                <w:sz w:val="22"/>
                <w:szCs w:val="28"/>
                <w:lang w:eastAsia="zh-CN"/>
              </w:rPr>
              <w:t>《</w:t>
            </w:r>
            <w:r>
              <w:rPr>
                <w:rFonts w:hint="eastAsia" w:ascii="Songti SC" w:hAnsi="Songti SC" w:eastAsia="Songti SC"/>
                <w:sz w:val="22"/>
                <w:szCs w:val="28"/>
                <w:lang w:val="en-US" w:eastAsia="zh-CN"/>
              </w:rPr>
              <w:t>亮嬷嬷</w:t>
            </w:r>
            <w:r>
              <w:rPr>
                <w:rFonts w:hint="eastAsia" w:ascii="Songti SC" w:hAnsi="Songti SC" w:eastAsia="Songti SC"/>
                <w:sz w:val="22"/>
                <w:szCs w:val="28"/>
                <w:lang w:eastAsia="zh-CN"/>
              </w:rPr>
              <w:t>》</w:t>
            </w:r>
            <w:r>
              <w:rPr>
                <w:rFonts w:hint="eastAsia" w:ascii="Songti SC" w:hAnsi="Songti SC" w:eastAsia="Songti SC"/>
                <w:sz w:val="22"/>
                <w:szCs w:val="28"/>
                <w:lang w:val="en-US" w:eastAsia="zh-CN"/>
              </w:rPr>
              <w:t>童谣的语句比较朴实易懂，贴近孩子们的生活，孩子们通过几次的诵读都能很好的理解复述。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2" w:hRule="atLeast"/>
        </w:trPr>
        <w:tc>
          <w:tcPr>
            <w:tcW w:w="1515" w:type="dxa"/>
            <w:shd w:val="clear" w:color="auto" w:fill="auto"/>
            <w:vAlign w:val="center"/>
          </w:tcPr>
          <w:p>
            <w:pPr>
              <w:spacing w:line="360" w:lineRule="auto"/>
              <w:jc w:val="center"/>
              <w:rPr>
                <w:sz w:val="20"/>
              </w:rPr>
            </w:pPr>
            <w:r>
              <w:rPr>
                <w:rFonts w:hint="eastAsia"/>
                <w:b/>
                <w:bCs/>
                <w:sz w:val="20"/>
              </w:rPr>
              <w:t>改进措施</w:t>
            </w:r>
          </w:p>
        </w:tc>
        <w:tc>
          <w:tcPr>
            <w:tcW w:w="7301" w:type="dxa"/>
            <w:gridSpan w:val="5"/>
            <w:shd w:val="clear" w:color="auto" w:fill="auto"/>
          </w:tcPr>
          <w:p>
            <w:pPr>
              <w:spacing w:line="360" w:lineRule="auto"/>
              <w:rPr>
                <w:sz w:val="22"/>
                <w:szCs w:val="28"/>
              </w:rPr>
            </w:pPr>
            <w:r>
              <w:rPr>
                <w:sz w:val="22"/>
                <w:szCs w:val="28"/>
              </w:rPr>
              <w:t>1、在以后的童谣学习中，</w:t>
            </w:r>
            <w:r>
              <w:rPr>
                <w:rFonts w:hint="eastAsia"/>
                <w:sz w:val="22"/>
                <w:szCs w:val="28"/>
              </w:rPr>
              <w:t>还是</w:t>
            </w:r>
            <w:r>
              <w:rPr>
                <w:sz w:val="22"/>
                <w:szCs w:val="28"/>
              </w:rPr>
              <w:t>要</w:t>
            </w:r>
            <w:r>
              <w:rPr>
                <w:rFonts w:hint="eastAsia"/>
                <w:sz w:val="22"/>
                <w:szCs w:val="28"/>
              </w:rPr>
              <w:t>多</w:t>
            </w:r>
            <w:r>
              <w:rPr>
                <w:sz w:val="22"/>
                <w:szCs w:val="28"/>
              </w:rPr>
              <w:t>给予幼儿学的</w:t>
            </w:r>
            <w:r>
              <w:rPr>
                <w:rFonts w:hint="eastAsia"/>
                <w:sz w:val="22"/>
                <w:szCs w:val="28"/>
              </w:rPr>
              <w:t>机会</w:t>
            </w:r>
            <w:r>
              <w:rPr>
                <w:sz w:val="22"/>
                <w:szCs w:val="28"/>
              </w:rPr>
              <w:t>，</w:t>
            </w:r>
            <w:r>
              <w:rPr>
                <w:rFonts w:hint="eastAsia"/>
                <w:sz w:val="22"/>
                <w:szCs w:val="28"/>
              </w:rPr>
              <w:t>同时</w:t>
            </w:r>
            <w:r>
              <w:rPr>
                <w:sz w:val="22"/>
                <w:szCs w:val="28"/>
              </w:rPr>
              <w:t>，</w:t>
            </w:r>
            <w:r>
              <w:rPr>
                <w:rFonts w:hint="eastAsia"/>
                <w:sz w:val="22"/>
                <w:szCs w:val="28"/>
              </w:rPr>
              <w:t>鼓励幼儿</w:t>
            </w:r>
            <w:r>
              <w:rPr>
                <w:sz w:val="22"/>
                <w:szCs w:val="28"/>
              </w:rPr>
              <w:t>上台</w:t>
            </w:r>
            <w:r>
              <w:rPr>
                <w:rFonts w:hint="eastAsia"/>
                <w:sz w:val="22"/>
                <w:szCs w:val="28"/>
              </w:rPr>
              <w:t>面向</w:t>
            </w:r>
            <w:r>
              <w:rPr>
                <w:sz w:val="22"/>
                <w:szCs w:val="28"/>
              </w:rPr>
              <w:t>集体表演，不怕</w:t>
            </w:r>
            <w:r>
              <w:rPr>
                <w:rFonts w:hint="eastAsia"/>
                <w:sz w:val="22"/>
                <w:szCs w:val="28"/>
              </w:rPr>
              <w:t>失败</w:t>
            </w:r>
            <w:r>
              <w:rPr>
                <w:sz w:val="22"/>
                <w:szCs w:val="28"/>
              </w:rPr>
              <w:t>，学会</w:t>
            </w:r>
            <w:r>
              <w:rPr>
                <w:rFonts w:hint="eastAsia"/>
                <w:sz w:val="22"/>
                <w:szCs w:val="28"/>
              </w:rPr>
              <w:t>听取他人建议</w:t>
            </w:r>
            <w:r>
              <w:rPr>
                <w:sz w:val="22"/>
                <w:szCs w:val="28"/>
              </w:rPr>
              <w:t>。</w:t>
            </w:r>
          </w:p>
          <w:p>
            <w:pPr>
              <w:spacing w:line="360" w:lineRule="auto"/>
              <w:rPr>
                <w:rFonts w:hint="eastAsia" w:eastAsia="宋体"/>
                <w:sz w:val="22"/>
                <w:szCs w:val="28"/>
                <w:lang w:val="en-US" w:eastAsia="zh-CN"/>
              </w:rPr>
            </w:pPr>
            <w:r>
              <w:rPr>
                <w:rFonts w:hint="eastAsia"/>
                <w:sz w:val="22"/>
                <w:szCs w:val="28"/>
              </w:rPr>
              <w:t>2、</w:t>
            </w:r>
            <w:r>
              <w:rPr>
                <w:rFonts w:hint="eastAsia"/>
                <w:sz w:val="22"/>
                <w:szCs w:val="28"/>
                <w:lang w:val="en-US" w:eastAsia="zh-CN"/>
              </w:rPr>
              <w:t>孩子们上课时对于课堂秩序不能很好的遵守，在日常生活中还是需要加强对秩序的管理</w:t>
            </w:r>
            <w:bookmarkStart w:id="0" w:name="_GoBack"/>
            <w:bookmarkEnd w:id="0"/>
          </w:p>
        </w:tc>
      </w:tr>
    </w:tbl>
    <w:p>
      <w:pPr>
        <w:spacing w:line="360" w:lineRule="auto"/>
        <w:rPr>
          <w:sz w:val="20"/>
        </w:rPr>
      </w:pPr>
    </w:p>
    <w:p>
      <w:pPr>
        <w:spacing w:line="360" w:lineRule="auto"/>
        <w:rPr>
          <w:sz w:val="20"/>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ongti SC">
    <w:altName w:val="Malgun Gothic Semilight"/>
    <w:panose1 w:val="02010600040101010101"/>
    <w:charset w:val="88"/>
    <w:family w:val="auto"/>
    <w:pitch w:val="default"/>
    <w:sig w:usb0="00000000" w:usb1="00000000" w:usb2="00000010" w:usb3="00000000" w:csb0="0014009F" w:csb1="00000000"/>
  </w:font>
  <w:font w:name="Malgun Gothic Semilight">
    <w:panose1 w:val="020B0502040204020203"/>
    <w:charset w:val="86"/>
    <w:family w:val="auto"/>
    <w:pitch w:val="default"/>
    <w:sig w:usb0="900002AF" w:usb1="01D77CFB" w:usb2="00000012" w:usb3="00000000" w:csb0="203E01BD" w:csb1="D7FF0000"/>
  </w:font>
  <w:font w:name="Malgun Gothic Semilight">
    <w:panose1 w:val="020B0502040204020203"/>
    <w:charset w:val="88"/>
    <w:family w:val="auto"/>
    <w:pitch w:val="default"/>
    <w:sig w:usb0="900002AF" w:usb1="01D77CFB" w:usb2="00000012" w:usb3="00000000" w:csb0="203E01BD" w:csb1="D7FF0000"/>
  </w:font>
  <w:font w:name="Songti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AA5"/>
    <w:rsid w:val="00092C44"/>
    <w:rsid w:val="000C5084"/>
    <w:rsid w:val="00105FDB"/>
    <w:rsid w:val="00107B89"/>
    <w:rsid w:val="001440FC"/>
    <w:rsid w:val="001546B6"/>
    <w:rsid w:val="00160F1C"/>
    <w:rsid w:val="001676DE"/>
    <w:rsid w:val="001934C0"/>
    <w:rsid w:val="001A4A12"/>
    <w:rsid w:val="001E6FD5"/>
    <w:rsid w:val="002B7A62"/>
    <w:rsid w:val="002F4ED2"/>
    <w:rsid w:val="0033138A"/>
    <w:rsid w:val="003E63D5"/>
    <w:rsid w:val="00404504"/>
    <w:rsid w:val="0046668D"/>
    <w:rsid w:val="004935CE"/>
    <w:rsid w:val="004B50CF"/>
    <w:rsid w:val="00525E1F"/>
    <w:rsid w:val="00543293"/>
    <w:rsid w:val="0059586F"/>
    <w:rsid w:val="005C0056"/>
    <w:rsid w:val="005C713A"/>
    <w:rsid w:val="00632AB5"/>
    <w:rsid w:val="006C04F1"/>
    <w:rsid w:val="0077039B"/>
    <w:rsid w:val="00786B87"/>
    <w:rsid w:val="007A3AF5"/>
    <w:rsid w:val="00835E23"/>
    <w:rsid w:val="00877C7C"/>
    <w:rsid w:val="008F2710"/>
    <w:rsid w:val="00954A88"/>
    <w:rsid w:val="00993803"/>
    <w:rsid w:val="00A56596"/>
    <w:rsid w:val="00AC2288"/>
    <w:rsid w:val="00AD62DD"/>
    <w:rsid w:val="00AF44FD"/>
    <w:rsid w:val="00B11EF7"/>
    <w:rsid w:val="00B16B76"/>
    <w:rsid w:val="00B64E51"/>
    <w:rsid w:val="00B82CE4"/>
    <w:rsid w:val="00B85AC3"/>
    <w:rsid w:val="00B87C70"/>
    <w:rsid w:val="00BA6537"/>
    <w:rsid w:val="00BB00E4"/>
    <w:rsid w:val="00BE7AA5"/>
    <w:rsid w:val="00C07F3F"/>
    <w:rsid w:val="00C54A1F"/>
    <w:rsid w:val="00C92A1F"/>
    <w:rsid w:val="00CA7E84"/>
    <w:rsid w:val="00CD3E19"/>
    <w:rsid w:val="00CE2E6F"/>
    <w:rsid w:val="00D03006"/>
    <w:rsid w:val="00DC6EBF"/>
    <w:rsid w:val="00DF7E8F"/>
    <w:rsid w:val="00E0775F"/>
    <w:rsid w:val="00E73345"/>
    <w:rsid w:val="00F536E4"/>
    <w:rsid w:val="042D0042"/>
    <w:rsid w:val="05EE060F"/>
    <w:rsid w:val="06404AF7"/>
    <w:rsid w:val="21163CEB"/>
    <w:rsid w:val="23D766BD"/>
    <w:rsid w:val="2B13435B"/>
    <w:rsid w:val="37F96102"/>
    <w:rsid w:val="38E52CA5"/>
    <w:rsid w:val="3A5D3162"/>
    <w:rsid w:val="3FD55E5D"/>
    <w:rsid w:val="463A1234"/>
    <w:rsid w:val="50135E5E"/>
    <w:rsid w:val="51325A5B"/>
    <w:rsid w:val="52AF34B4"/>
    <w:rsid w:val="52E6015F"/>
    <w:rsid w:val="571D6883"/>
    <w:rsid w:val="5B630F51"/>
    <w:rsid w:val="5F7647DB"/>
    <w:rsid w:val="626976A1"/>
    <w:rsid w:val="63FE583D"/>
    <w:rsid w:val="65844E4A"/>
    <w:rsid w:val="6760782A"/>
    <w:rsid w:val="6D6158CB"/>
    <w:rsid w:val="710C5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unhideWhenUsed/>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160</Words>
  <Characters>914</Characters>
  <Lines>7</Lines>
  <Paragraphs>2</Paragraphs>
  <TotalTime>38</TotalTime>
  <ScaleCrop>false</ScaleCrop>
  <LinksUpToDate>false</LinksUpToDate>
  <CharactersWithSpaces>1072</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2018-06-26T15:19:00Z</dcterms:created>
  <dc:creator>Administrator</dc:creator>
  <cp:lastModifiedBy>vidya</cp:lastModifiedBy>
  <dcterms:modified xsi:type="dcterms:W3CDTF">2018-10-24T08:50:50Z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