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bCs/>
          <w:sz w:val="28"/>
          <w:szCs w:val="30"/>
        </w:rPr>
      </w:pPr>
      <w:r>
        <w:rPr>
          <w:rFonts w:hint="eastAsia"/>
          <w:b/>
          <w:bCs/>
          <w:sz w:val="28"/>
          <w:szCs w:val="30"/>
        </w:rPr>
        <w:t>《基于园本的童谣系列活动的开发与实践研究》课题观察记录</w:t>
      </w:r>
    </w:p>
    <w:tbl>
      <w:tblPr>
        <w:tblStyle w:val="3"/>
        <w:tblW w:w="8816" w:type="dxa"/>
        <w:tblInd w:w="-3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5"/>
        <w:gridCol w:w="1740"/>
        <w:gridCol w:w="1065"/>
        <w:gridCol w:w="1377"/>
        <w:gridCol w:w="1413"/>
        <w:gridCol w:w="1706"/>
      </w:tblGrid>
      <w:tr>
        <w:tblPrEx>
          <w:tblLayout w:type="fixed"/>
        </w:tblPrEx>
        <w:trPr>
          <w:trHeight w:val="602" w:hRule="atLeast"/>
        </w:trPr>
        <w:tc>
          <w:tcPr>
            <w:tcW w:w="1515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观察对象</w:t>
            </w:r>
          </w:p>
        </w:tc>
        <w:tc>
          <w:tcPr>
            <w:tcW w:w="174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2"/>
              </w:rPr>
              <w:t>西苑</w:t>
            </w:r>
            <w:r>
              <w:rPr>
                <w:rFonts w:hint="default"/>
                <w:sz w:val="22"/>
              </w:rPr>
              <w:t>中</w:t>
            </w:r>
            <w:r>
              <w:rPr>
                <w:rFonts w:hint="eastAsia"/>
                <w:sz w:val="22"/>
              </w:rPr>
              <w:t>六班全体幼儿</w:t>
            </w:r>
          </w:p>
        </w:tc>
        <w:tc>
          <w:tcPr>
            <w:tcW w:w="1065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班级</w:t>
            </w:r>
          </w:p>
        </w:tc>
        <w:tc>
          <w:tcPr>
            <w:tcW w:w="1377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2"/>
              </w:rPr>
              <w:t>西苑</w:t>
            </w:r>
            <w:r>
              <w:rPr>
                <w:rFonts w:hint="default"/>
                <w:sz w:val="22"/>
              </w:rPr>
              <w:t>中</w:t>
            </w:r>
            <w:r>
              <w:rPr>
                <w:rFonts w:hint="eastAsia"/>
                <w:sz w:val="22"/>
              </w:rPr>
              <w:t>六班</w:t>
            </w:r>
          </w:p>
        </w:tc>
        <w:tc>
          <w:tcPr>
            <w:tcW w:w="1413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时间</w:t>
            </w:r>
          </w:p>
        </w:tc>
        <w:tc>
          <w:tcPr>
            <w:tcW w:w="1706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2"/>
              </w:rPr>
              <w:t>2018.</w:t>
            </w:r>
            <w:r>
              <w:rPr>
                <w:rFonts w:hint="default"/>
                <w:sz w:val="22"/>
              </w:rPr>
              <w:t>9</w:t>
            </w:r>
          </w:p>
        </w:tc>
      </w:tr>
      <w:tr>
        <w:tblPrEx>
          <w:tblLayout w:type="fixed"/>
        </w:tblPrEx>
        <w:trPr>
          <w:trHeight w:val="557" w:hRule="atLeast"/>
        </w:trPr>
        <w:tc>
          <w:tcPr>
            <w:tcW w:w="1515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观察课题内容</w:t>
            </w:r>
          </w:p>
        </w:tc>
        <w:tc>
          <w:tcPr>
            <w:tcW w:w="4182" w:type="dxa"/>
            <w:gridSpan w:val="3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0"/>
              </w:rPr>
            </w:pPr>
            <w:r>
              <w:rPr>
                <w:rFonts w:hint="eastAsia"/>
                <w:sz w:val="22"/>
              </w:rPr>
              <w:t>《</w:t>
            </w:r>
            <w:r>
              <w:rPr>
                <w:rFonts w:hint="default"/>
                <w:sz w:val="22"/>
              </w:rPr>
              <w:t>亮麽麽</w:t>
            </w:r>
            <w:r>
              <w:rPr>
                <w:rFonts w:hint="eastAsia"/>
                <w:sz w:val="22"/>
              </w:rPr>
              <w:t>》课程中幼儿的整体表现</w:t>
            </w:r>
          </w:p>
        </w:tc>
        <w:tc>
          <w:tcPr>
            <w:tcW w:w="1413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观察者</w:t>
            </w:r>
          </w:p>
        </w:tc>
        <w:tc>
          <w:tcPr>
            <w:tcW w:w="1706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0"/>
              </w:rPr>
            </w:pPr>
            <w:r>
              <w:rPr>
                <w:sz w:val="20"/>
              </w:rPr>
              <w:t>王筱</w:t>
            </w:r>
          </w:p>
        </w:tc>
      </w:tr>
      <w:tr>
        <w:tblPrEx>
          <w:tblLayout w:type="fixed"/>
        </w:tblPrEx>
        <w:trPr>
          <w:trHeight w:val="2744" w:hRule="atLeast"/>
        </w:trPr>
        <w:tc>
          <w:tcPr>
            <w:tcW w:w="1515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过程实录</w:t>
            </w:r>
          </w:p>
          <w:p>
            <w:pPr>
              <w:spacing w:line="360" w:lineRule="auto"/>
              <w:jc w:val="center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即</w:t>
            </w:r>
          </w:p>
          <w:p>
            <w:pPr>
              <w:spacing w:line="360" w:lineRule="auto"/>
              <w:jc w:val="center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(精彩片段——指向幼儿)</w:t>
            </w:r>
          </w:p>
          <w:p>
            <w:pPr>
              <w:spacing w:line="360" w:lineRule="auto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（可附照片）</w:t>
            </w:r>
          </w:p>
        </w:tc>
        <w:tc>
          <w:tcPr>
            <w:tcW w:w="7301" w:type="dxa"/>
            <w:gridSpan w:val="5"/>
            <w:shd w:val="clear" w:color="auto" w:fill="auto"/>
          </w:tcPr>
          <w:p>
            <w:pPr>
              <w:snapToGrid w:val="0"/>
              <w:spacing w:line="360" w:lineRule="auto"/>
              <w:contextualSpacing/>
              <w:rPr>
                <w:rFonts w:ascii="宋体-简" w:hAnsi="宋体-简" w:eastAsia="宋体-简"/>
                <w:sz w:val="22"/>
                <w:szCs w:val="28"/>
              </w:rPr>
            </w:pPr>
            <w:r>
              <w:rPr>
                <w:rFonts w:ascii="宋体-简" w:hAnsi="宋体-简" w:eastAsia="宋体-简"/>
                <w:sz w:val="22"/>
                <w:szCs w:val="28"/>
              </w:rPr>
              <w:t>《</w:t>
            </w:r>
            <w:r>
              <w:rPr>
                <w:rFonts w:ascii="宋体-简" w:hAnsi="宋体-简" w:eastAsia="宋体-简"/>
                <w:sz w:val="22"/>
                <w:szCs w:val="28"/>
              </w:rPr>
              <w:t>亮麽麽</w:t>
            </w:r>
            <w:r>
              <w:rPr>
                <w:rFonts w:ascii="宋体-简" w:hAnsi="宋体-简" w:eastAsia="宋体-简"/>
                <w:sz w:val="22"/>
                <w:szCs w:val="28"/>
              </w:rPr>
              <w:t>》是用常州方言说的一段童谣，我们班很多孩子都是外来人员，基本上说的普通话比较多，但是，这首铜套比较有趣味性，孩子们听老手说的时候，就感受到了常州童谣的滑稽。在活动中，孩子们敢于尝试学着老师用方言说童谣，孩子们一遍笑着，一遍说亮麽麽，星星出。。。。，在孩子们念完两遍之后，孩子们就能够试着淡出出来展示自己学到的本领了，能够自己指着图片，说出童谣里的内容，并且，孩子们还能够互相合作，一男生女生分组，你说一句，我说一句，还想到了，男生说前面的第一句，女生说第二句，然后再男生说第三句，女生说第四句，孩子们的合作意识很强，最后，还能够加行动作进行演讲，这就是童谣的魅力。</w:t>
            </w:r>
          </w:p>
          <w:p>
            <w:pPr>
              <w:snapToGrid w:val="0"/>
              <w:spacing w:line="360" w:lineRule="auto"/>
              <w:contextualSpacing/>
              <w:rPr>
                <w:rFonts w:ascii="宋体-简" w:hAnsi="宋体-简" w:eastAsia="宋体-简"/>
                <w:sz w:val="22"/>
                <w:szCs w:val="28"/>
              </w:rPr>
            </w:pPr>
          </w:p>
          <w:p>
            <w:pPr>
              <w:snapToGrid w:val="0"/>
              <w:spacing w:line="360" w:lineRule="auto"/>
              <w:contextualSpacing/>
              <w:rPr>
                <w:rFonts w:ascii="宋体-简" w:hAnsi="宋体-简" w:eastAsia="宋体-简"/>
                <w:sz w:val="22"/>
                <w:szCs w:val="28"/>
              </w:rPr>
            </w:pPr>
            <w:r>
              <w:rPr>
                <w:rFonts w:ascii="宋体-简" w:hAnsi="宋体-简" w:eastAsia="宋体-简"/>
                <w:sz w:val="22"/>
                <w:szCs w:val="28"/>
              </w:rPr>
              <w:t xml:space="preserve"> </w:t>
            </w:r>
            <w:r>
              <w:rPr>
                <w:rFonts w:hint="eastAsia" w:ascii="宋体-简" w:hAnsi="宋体-简" w:eastAsia="宋体-简"/>
                <w:sz w:val="22"/>
                <w:szCs w:val="28"/>
              </w:rPr>
              <w:drawing>
                <wp:inline distT="0" distB="0" distL="0" distR="0">
                  <wp:extent cx="2170430" cy="1629410"/>
                  <wp:effectExtent l="0" t="0" r="13970" b="21590"/>
                  <wp:docPr id="7" name="图片 7" descr="/Users/wangxiao/Desktop/384BAEF312B381D5368227E657443B45.jpg384BAEF312B381D5368227E657443B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wangxiao/Desktop/384BAEF312B381D5368227E657443B45.jpg384BAEF312B381D5368227E657443B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163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-简" w:hAnsi="宋体-简" w:eastAsia="宋体-简"/>
                <w:sz w:val="22"/>
                <w:szCs w:val="28"/>
              </w:rPr>
              <w:t xml:space="preserve"> </w:t>
            </w:r>
            <w:r>
              <w:rPr>
                <w:rFonts w:hint="eastAsia" w:ascii="宋体-简" w:hAnsi="宋体-简" w:eastAsia="宋体-简"/>
                <w:sz w:val="22"/>
                <w:szCs w:val="28"/>
              </w:rPr>
              <w:drawing>
                <wp:inline distT="0" distB="0" distL="0" distR="0">
                  <wp:extent cx="2122805" cy="1593215"/>
                  <wp:effectExtent l="0" t="0" r="10795" b="6985"/>
                  <wp:docPr id="6" name="图片 6" descr="/Users/wangxiao/Desktop/63CE92A25964F9B95C9904D30AF8F743.jpg63CE92A25964F9B95C9904D30AF8F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wangxiao/Desktop/63CE92A25964F9B95C9904D30AF8F743.jpg63CE92A25964F9B95C9904D30AF8F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59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0"/>
              <w:spacing w:line="360" w:lineRule="auto"/>
              <w:contextualSpacing/>
              <w:rPr>
                <w:rFonts w:ascii="宋体-简" w:hAnsi="宋体-简" w:eastAsia="宋体-简"/>
                <w:sz w:val="22"/>
                <w:szCs w:val="28"/>
              </w:rPr>
            </w:pPr>
            <w:r>
              <w:rPr>
                <w:rFonts w:ascii="宋体-简" w:hAnsi="宋体-简" w:eastAsia="宋体-简"/>
                <w:sz w:val="22"/>
                <w:szCs w:val="28"/>
              </w:rPr>
              <w:t xml:space="preserve">  </w:t>
            </w:r>
            <w:r>
              <w:rPr>
                <w:rFonts w:hint="eastAsia" w:ascii="宋体-简" w:hAnsi="宋体-简" w:eastAsia="宋体-简"/>
                <w:sz w:val="22"/>
                <w:szCs w:val="28"/>
              </w:rPr>
              <w:drawing>
                <wp:inline distT="0" distB="0" distL="0" distR="0">
                  <wp:extent cx="2032000" cy="1524635"/>
                  <wp:effectExtent l="0" t="0" r="0" b="24765"/>
                  <wp:docPr id="9" name="图片 9" descr="/Users/wangxiao/Desktop/6A6E2079CE098A9118A3F272C89B7D63.jpg6A6E2079CE098A9118A3F272C89B7D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wangxiao/Desktop/6A6E2079CE098A9118A3F272C89B7D63.jpg6A6E2079CE098A9118A3F272C89B7D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-简" w:hAnsi="宋体-简" w:eastAsia="宋体-简"/>
                <w:sz w:val="22"/>
                <w:szCs w:val="28"/>
              </w:rPr>
              <w:t xml:space="preserve"> </w:t>
            </w:r>
            <w:r>
              <w:rPr>
                <w:rFonts w:hint="eastAsia" w:ascii="宋体-简" w:hAnsi="宋体-简" w:eastAsia="宋体-简"/>
                <w:sz w:val="22"/>
                <w:szCs w:val="28"/>
              </w:rPr>
              <w:drawing>
                <wp:inline distT="0" distB="0" distL="0" distR="0">
                  <wp:extent cx="2098675" cy="1575435"/>
                  <wp:effectExtent l="0" t="0" r="9525" b="24765"/>
                  <wp:docPr id="8" name="图片 8" descr="/Users/wangxiao/Desktop/B8DDE97E4A20E75AA72650BAE23F7609.jpgB8DDE97E4A20E75AA72650BAE23F7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wangxiao/Desktop/B8DDE97E4A20E75AA72650BAE23F7609.jpgB8DDE97E4A20E75AA72650BAE23F7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</w:tblPrEx>
        <w:trPr>
          <w:trHeight w:val="4852" w:hRule="atLeast"/>
        </w:trPr>
        <w:tc>
          <w:tcPr>
            <w:tcW w:w="1515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活动过程</w:t>
            </w:r>
          </w:p>
          <w:p>
            <w:pPr>
              <w:spacing w:line="360" w:lineRule="auto"/>
              <w:jc w:val="center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观察分析</w:t>
            </w:r>
          </w:p>
          <w:p>
            <w:pPr>
              <w:spacing w:line="360" w:lineRule="auto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（重点指向语言、艺术、行为方面的发展）</w:t>
            </w:r>
          </w:p>
        </w:tc>
        <w:tc>
          <w:tcPr>
            <w:tcW w:w="7301" w:type="dxa"/>
            <w:gridSpan w:val="5"/>
            <w:shd w:val="clear" w:color="auto" w:fill="auto"/>
          </w:tcPr>
          <w:p>
            <w:pPr>
              <w:tabs>
                <w:tab w:val="left" w:pos="1695"/>
              </w:tabs>
              <w:snapToGrid w:val="0"/>
              <w:spacing w:line="360" w:lineRule="auto"/>
              <w:contextualSpacing/>
              <w:rPr>
                <w:rFonts w:ascii="宋体-简" w:hAnsi="宋体-简" w:eastAsia="宋体-简"/>
                <w:sz w:val="22"/>
                <w:szCs w:val="28"/>
              </w:rPr>
            </w:pPr>
            <w:r>
              <w:rPr>
                <w:rFonts w:ascii="宋体-简" w:hAnsi="宋体-简" w:eastAsia="宋体-简"/>
                <w:sz w:val="22"/>
                <w:szCs w:val="28"/>
              </w:rPr>
              <w:t>语言领域：</w:t>
            </w:r>
          </w:p>
          <w:p>
            <w:pPr>
              <w:tabs>
                <w:tab w:val="left" w:pos="1695"/>
              </w:tabs>
              <w:snapToGrid w:val="0"/>
              <w:spacing w:line="360" w:lineRule="auto"/>
              <w:contextualSpacing/>
              <w:rPr>
                <w:rFonts w:ascii="宋体-简" w:hAnsi="宋体-简" w:eastAsia="宋体-简"/>
                <w:sz w:val="22"/>
                <w:szCs w:val="28"/>
              </w:rPr>
            </w:pPr>
            <w:r>
              <w:rPr>
                <w:rFonts w:hint="eastAsia" w:ascii="宋体-简" w:hAnsi="宋体-简" w:eastAsia="宋体-简"/>
                <w:sz w:val="22"/>
                <w:szCs w:val="28"/>
              </w:rPr>
              <w:t>1、别人</w:t>
            </w:r>
            <w:r>
              <w:rPr>
                <w:rFonts w:ascii="宋体-简" w:hAnsi="宋体-简" w:eastAsia="宋体-简"/>
                <w:sz w:val="22"/>
                <w:szCs w:val="28"/>
              </w:rPr>
              <w:t>在对自己说话时，</w:t>
            </w:r>
            <w:r>
              <w:rPr>
                <w:rFonts w:hint="eastAsia" w:ascii="宋体-简" w:hAnsi="宋体-简" w:eastAsia="宋体-简"/>
                <w:sz w:val="22"/>
                <w:szCs w:val="28"/>
              </w:rPr>
              <w:t>注意听</w:t>
            </w:r>
            <w:r>
              <w:rPr>
                <w:rFonts w:ascii="宋体-简" w:hAnsi="宋体-简" w:eastAsia="宋体-简"/>
                <w:sz w:val="22"/>
                <w:szCs w:val="28"/>
              </w:rPr>
              <w:t>并能作出回应。</w:t>
            </w:r>
          </w:p>
          <w:p>
            <w:pPr>
              <w:tabs>
                <w:tab w:val="left" w:pos="1695"/>
              </w:tabs>
              <w:snapToGrid w:val="0"/>
              <w:spacing w:line="360" w:lineRule="auto"/>
              <w:contextualSpacing/>
              <w:rPr>
                <w:rFonts w:ascii="宋体-简" w:hAnsi="宋体-简" w:eastAsia="宋体-简"/>
                <w:sz w:val="22"/>
                <w:szCs w:val="28"/>
              </w:rPr>
            </w:pPr>
            <w:r>
              <w:rPr>
                <w:rFonts w:hint="eastAsia" w:ascii="宋体-简" w:hAnsi="宋体-简" w:eastAsia="宋体-简"/>
                <w:sz w:val="22"/>
                <w:szCs w:val="28"/>
              </w:rPr>
              <w:t>2、能</w:t>
            </w:r>
            <w:r>
              <w:rPr>
                <w:rFonts w:ascii="宋体-简" w:hAnsi="宋体-简" w:eastAsia="宋体-简"/>
                <w:sz w:val="22"/>
                <w:szCs w:val="28"/>
              </w:rPr>
              <w:t>口齿清楚的说儿歌、</w:t>
            </w:r>
            <w:r>
              <w:rPr>
                <w:rFonts w:hint="eastAsia" w:ascii="宋体-简" w:hAnsi="宋体-简" w:eastAsia="宋体-简"/>
                <w:sz w:val="22"/>
                <w:szCs w:val="28"/>
              </w:rPr>
              <w:t>童谣</w:t>
            </w:r>
            <w:r>
              <w:rPr>
                <w:rFonts w:ascii="宋体-简" w:hAnsi="宋体-简" w:eastAsia="宋体-简"/>
                <w:sz w:val="22"/>
                <w:szCs w:val="28"/>
              </w:rPr>
              <w:t>，</w:t>
            </w:r>
            <w:r>
              <w:rPr>
                <w:rFonts w:hint="eastAsia" w:ascii="宋体-简" w:hAnsi="宋体-简" w:eastAsia="宋体-简"/>
                <w:sz w:val="22"/>
                <w:szCs w:val="28"/>
              </w:rPr>
              <w:t>并能复述简短</w:t>
            </w:r>
            <w:r>
              <w:rPr>
                <w:rFonts w:ascii="宋体-简" w:hAnsi="宋体-简" w:eastAsia="宋体-简"/>
                <w:sz w:val="22"/>
                <w:szCs w:val="28"/>
              </w:rPr>
              <w:t>的故事。</w:t>
            </w:r>
          </w:p>
          <w:p>
            <w:pPr>
              <w:snapToGrid w:val="0"/>
              <w:spacing w:line="360" w:lineRule="auto"/>
              <w:contextualSpacing/>
              <w:rPr>
                <w:rFonts w:ascii="宋体-简" w:hAnsi="宋体-简" w:eastAsia="宋体-简"/>
                <w:sz w:val="22"/>
                <w:szCs w:val="28"/>
              </w:rPr>
            </w:pPr>
            <w:r>
              <w:rPr>
                <w:rFonts w:ascii="宋体-简" w:hAnsi="宋体-简" w:eastAsia="宋体-简"/>
                <w:sz w:val="22"/>
                <w:szCs w:val="28"/>
              </w:rPr>
              <w:t>分析：</w:t>
            </w:r>
          </w:p>
          <w:p>
            <w:pPr>
              <w:numPr>
                <w:ilvl w:val="0"/>
                <w:numId w:val="1"/>
              </w:numPr>
              <w:snapToGrid w:val="0"/>
              <w:spacing w:line="360" w:lineRule="auto"/>
              <w:contextualSpacing/>
              <w:rPr>
                <w:rFonts w:hint="eastAsia" w:ascii="宋体-简" w:hAnsi="宋体-简" w:eastAsia="宋体-简"/>
                <w:sz w:val="22"/>
                <w:szCs w:val="28"/>
              </w:rPr>
            </w:pPr>
            <w:r>
              <w:rPr>
                <w:rFonts w:hint="eastAsia" w:ascii="宋体-简" w:hAnsi="宋体-简" w:eastAsia="宋体-简"/>
                <w:sz w:val="22"/>
                <w:szCs w:val="28"/>
              </w:rPr>
              <w:t>由于幼儿在平时习惯了用</w:t>
            </w:r>
            <w:r>
              <w:rPr>
                <w:rFonts w:hint="default" w:ascii="宋体-简" w:hAnsi="宋体-简" w:eastAsia="宋体-简"/>
                <w:sz w:val="22"/>
                <w:szCs w:val="28"/>
              </w:rPr>
              <w:t>普通话</w:t>
            </w:r>
            <w:r>
              <w:rPr>
                <w:rFonts w:hint="eastAsia" w:ascii="宋体-简" w:hAnsi="宋体-简" w:eastAsia="宋体-简"/>
                <w:sz w:val="22"/>
                <w:szCs w:val="28"/>
              </w:rPr>
              <w:t>，因此幼儿在</w:t>
            </w:r>
            <w:r>
              <w:rPr>
                <w:rFonts w:hint="default" w:ascii="宋体-简" w:hAnsi="宋体-简" w:eastAsia="宋体-简"/>
                <w:sz w:val="22"/>
                <w:szCs w:val="28"/>
              </w:rPr>
              <w:t>念第一遍的时候，就是一半模仿老师说，一半用自己熟悉的普通说，但是，几遍下来，孩子们就能够完全用常州话像模像样的说童谣《亮麽麽》了，很不错，值得鼓励。</w:t>
            </w:r>
          </w:p>
          <w:p>
            <w:pPr>
              <w:snapToGrid w:val="0"/>
              <w:spacing w:line="360" w:lineRule="auto"/>
              <w:contextualSpacing/>
              <w:rPr>
                <w:rFonts w:ascii="宋体-简" w:hAnsi="宋体-简" w:eastAsia="宋体-简"/>
                <w:sz w:val="22"/>
                <w:szCs w:val="28"/>
              </w:rPr>
            </w:pPr>
            <w:r>
              <w:rPr>
                <w:rFonts w:ascii="宋体-简" w:hAnsi="宋体-简" w:eastAsia="宋体-简"/>
                <w:sz w:val="22"/>
                <w:szCs w:val="28"/>
              </w:rPr>
              <w:t>2、有部分孩子再说：“婆婆烧饭公公吃，一吃吃到喉咙哑！”这句话的时候，“喉咙哑”3个字孩子们比较绕口，但是，也不强求规定每个孩子能够学会，孩子们愿意说一说、念一念就很棒了。</w:t>
            </w:r>
          </w:p>
        </w:tc>
      </w:tr>
      <w:tr>
        <w:tblPrEx>
          <w:tblLayout w:type="fixed"/>
        </w:tblPrEx>
        <w:trPr>
          <w:trHeight w:val="2172" w:hRule="atLeast"/>
        </w:trPr>
        <w:tc>
          <w:tcPr>
            <w:tcW w:w="1515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改进措施</w:t>
            </w:r>
          </w:p>
        </w:tc>
        <w:tc>
          <w:tcPr>
            <w:tcW w:w="7301" w:type="dxa"/>
            <w:gridSpan w:val="5"/>
            <w:shd w:val="clear" w:color="auto" w:fill="auto"/>
          </w:tcPr>
          <w:p>
            <w:pPr>
              <w:spacing w:line="360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1、在以后的童谣学习中，</w:t>
            </w:r>
            <w:r>
              <w:rPr>
                <w:rFonts w:hint="eastAsia"/>
                <w:sz w:val="22"/>
                <w:szCs w:val="28"/>
              </w:rPr>
              <w:t>还是</w:t>
            </w:r>
            <w:r>
              <w:rPr>
                <w:sz w:val="22"/>
                <w:szCs w:val="28"/>
              </w:rPr>
              <w:t>要</w:t>
            </w:r>
            <w:r>
              <w:rPr>
                <w:rFonts w:hint="eastAsia"/>
                <w:sz w:val="22"/>
                <w:szCs w:val="28"/>
              </w:rPr>
              <w:t>多</w:t>
            </w:r>
            <w:r>
              <w:rPr>
                <w:sz w:val="22"/>
                <w:szCs w:val="28"/>
              </w:rPr>
              <w:t>给予幼儿学的</w:t>
            </w:r>
            <w:r>
              <w:rPr>
                <w:rFonts w:hint="eastAsia"/>
                <w:sz w:val="22"/>
                <w:szCs w:val="28"/>
              </w:rPr>
              <w:t>机会</w:t>
            </w:r>
            <w:r>
              <w:rPr>
                <w:sz w:val="22"/>
                <w:szCs w:val="28"/>
              </w:rPr>
              <w:t>，</w:t>
            </w:r>
            <w:r>
              <w:rPr>
                <w:rFonts w:hint="eastAsia"/>
                <w:sz w:val="22"/>
                <w:szCs w:val="28"/>
              </w:rPr>
              <w:t>同时</w:t>
            </w:r>
            <w:r>
              <w:rPr>
                <w:sz w:val="22"/>
                <w:szCs w:val="28"/>
              </w:rPr>
              <w:t>，</w:t>
            </w:r>
            <w:r>
              <w:rPr>
                <w:rFonts w:hint="eastAsia"/>
                <w:sz w:val="22"/>
                <w:szCs w:val="28"/>
              </w:rPr>
              <w:t>鼓励幼儿</w:t>
            </w:r>
            <w:r>
              <w:rPr>
                <w:sz w:val="22"/>
                <w:szCs w:val="28"/>
              </w:rPr>
              <w:t>上台</w:t>
            </w:r>
            <w:r>
              <w:rPr>
                <w:rFonts w:hint="eastAsia"/>
                <w:sz w:val="22"/>
                <w:szCs w:val="28"/>
              </w:rPr>
              <w:t>面向</w:t>
            </w:r>
            <w:r>
              <w:rPr>
                <w:sz w:val="22"/>
                <w:szCs w:val="28"/>
              </w:rPr>
              <w:t>集体表演，不怕</w:t>
            </w:r>
            <w:r>
              <w:rPr>
                <w:rFonts w:hint="eastAsia"/>
                <w:sz w:val="22"/>
                <w:szCs w:val="28"/>
              </w:rPr>
              <w:t>失败</w:t>
            </w:r>
            <w:r>
              <w:rPr>
                <w:sz w:val="22"/>
                <w:szCs w:val="28"/>
              </w:rPr>
              <w:t>，学会</w:t>
            </w:r>
            <w:r>
              <w:rPr>
                <w:rFonts w:hint="eastAsia"/>
                <w:sz w:val="22"/>
                <w:szCs w:val="28"/>
              </w:rPr>
              <w:t>听取他人建议</w:t>
            </w:r>
            <w:r>
              <w:rPr>
                <w:sz w:val="22"/>
                <w:szCs w:val="28"/>
              </w:rPr>
              <w:t>。</w:t>
            </w:r>
          </w:p>
          <w:p>
            <w:pPr>
              <w:spacing w:line="360" w:lineRule="auto"/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2、</w:t>
            </w:r>
            <w:r>
              <w:rPr>
                <w:sz w:val="22"/>
                <w:szCs w:val="28"/>
              </w:rPr>
              <w:t>童谣教学</w:t>
            </w:r>
            <w:r>
              <w:rPr>
                <w:rFonts w:hint="eastAsia"/>
                <w:sz w:val="22"/>
                <w:szCs w:val="28"/>
              </w:rPr>
              <w:t>可以</w:t>
            </w:r>
            <w:r>
              <w:rPr>
                <w:sz w:val="22"/>
                <w:szCs w:val="28"/>
              </w:rPr>
              <w:t>更开放</w:t>
            </w:r>
            <w:r>
              <w:rPr>
                <w:sz w:val="22"/>
                <w:szCs w:val="28"/>
              </w:rPr>
              <w:t>些</w:t>
            </w:r>
            <w:bookmarkStart w:id="0" w:name="_GoBack"/>
            <w:bookmarkEnd w:id="0"/>
            <w:r>
              <w:rPr>
                <w:sz w:val="22"/>
                <w:szCs w:val="28"/>
              </w:rPr>
              <w:t>，</w:t>
            </w:r>
            <w:r>
              <w:rPr>
                <w:rFonts w:hint="eastAsia"/>
                <w:sz w:val="22"/>
                <w:szCs w:val="28"/>
              </w:rPr>
              <w:t>比如以</w:t>
            </w:r>
            <w:r>
              <w:rPr>
                <w:sz w:val="22"/>
                <w:szCs w:val="28"/>
              </w:rPr>
              <w:t>小组话的形式，幼儿之间进行商量表演，</w:t>
            </w:r>
            <w:r>
              <w:rPr>
                <w:rFonts w:hint="eastAsia"/>
                <w:sz w:val="22"/>
                <w:szCs w:val="28"/>
              </w:rPr>
              <w:t>互相</w:t>
            </w:r>
            <w:r>
              <w:rPr>
                <w:sz w:val="22"/>
                <w:szCs w:val="28"/>
              </w:rPr>
              <w:t>分配角色，</w:t>
            </w:r>
            <w:r>
              <w:rPr>
                <w:rFonts w:hint="eastAsia"/>
                <w:sz w:val="22"/>
                <w:szCs w:val="28"/>
              </w:rPr>
              <w:t>自导自演</w:t>
            </w:r>
            <w:r>
              <w:rPr>
                <w:sz w:val="22"/>
                <w:szCs w:val="28"/>
              </w:rPr>
              <w:t>，</w:t>
            </w:r>
            <w:r>
              <w:rPr>
                <w:rFonts w:hint="eastAsia"/>
                <w:sz w:val="22"/>
                <w:szCs w:val="28"/>
              </w:rPr>
              <w:t>不过</w:t>
            </w:r>
            <w:r>
              <w:rPr>
                <w:sz w:val="22"/>
                <w:szCs w:val="28"/>
              </w:rPr>
              <w:t>小班只可以作为尝试或者是</w:t>
            </w:r>
            <w:r>
              <w:rPr>
                <w:rFonts w:hint="eastAsia"/>
                <w:sz w:val="22"/>
                <w:szCs w:val="28"/>
              </w:rPr>
              <w:t>慢慢</w:t>
            </w:r>
            <w:r>
              <w:rPr>
                <w:sz w:val="22"/>
                <w:szCs w:val="28"/>
              </w:rPr>
              <w:t>一次一次</w:t>
            </w:r>
            <w:r>
              <w:rPr>
                <w:rFonts w:hint="eastAsia"/>
                <w:sz w:val="22"/>
                <w:szCs w:val="28"/>
              </w:rPr>
              <w:t>培养</w:t>
            </w:r>
            <w:r>
              <w:rPr>
                <w:sz w:val="22"/>
                <w:szCs w:val="28"/>
              </w:rPr>
              <w:t>语言方面的能力。</w:t>
            </w:r>
          </w:p>
        </w:tc>
      </w:tr>
    </w:tbl>
    <w:p>
      <w:pPr>
        <w:spacing w:line="360" w:lineRule="auto"/>
        <w:rPr>
          <w:sz w:val="20"/>
        </w:rPr>
      </w:pPr>
    </w:p>
    <w:p>
      <w:pPr>
        <w:spacing w:line="360" w:lineRule="auto"/>
        <w:rPr>
          <w:sz w:val="20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Apple SD Gothic Neo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8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0" w:usb3="00000000" w:csb0="0000019F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Apple SD Gothic Neo">
    <w:panose1 w:val="02000300000000000000"/>
    <w:charset w:val="86"/>
    <w:family w:val="auto"/>
    <w:pitch w:val="default"/>
    <w:sig w:usb0="00000000" w:usb1="00000000" w:usb2="00000000" w:usb3="00000000" w:csb0="003E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02FC0"/>
    <w:multiLevelType w:val="singleLevel"/>
    <w:tmpl w:val="5BD02FC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AA5"/>
    <w:rsid w:val="00092C44"/>
    <w:rsid w:val="000C5084"/>
    <w:rsid w:val="00105FDB"/>
    <w:rsid w:val="00107B89"/>
    <w:rsid w:val="001440FC"/>
    <w:rsid w:val="001546B6"/>
    <w:rsid w:val="00160F1C"/>
    <w:rsid w:val="001676DE"/>
    <w:rsid w:val="001934C0"/>
    <w:rsid w:val="001A4A12"/>
    <w:rsid w:val="001E6FD5"/>
    <w:rsid w:val="002B7A62"/>
    <w:rsid w:val="002F4ED2"/>
    <w:rsid w:val="0033138A"/>
    <w:rsid w:val="003E63D5"/>
    <w:rsid w:val="00404504"/>
    <w:rsid w:val="0046668D"/>
    <w:rsid w:val="004935CE"/>
    <w:rsid w:val="004B50CF"/>
    <w:rsid w:val="00525E1F"/>
    <w:rsid w:val="00543293"/>
    <w:rsid w:val="0059586F"/>
    <w:rsid w:val="005C0056"/>
    <w:rsid w:val="005C713A"/>
    <w:rsid w:val="00632AB5"/>
    <w:rsid w:val="006C04F1"/>
    <w:rsid w:val="0077039B"/>
    <w:rsid w:val="00786B87"/>
    <w:rsid w:val="007A3AF5"/>
    <w:rsid w:val="00835E23"/>
    <w:rsid w:val="00877C7C"/>
    <w:rsid w:val="008F2710"/>
    <w:rsid w:val="00954A88"/>
    <w:rsid w:val="00993803"/>
    <w:rsid w:val="00A56596"/>
    <w:rsid w:val="00AC2288"/>
    <w:rsid w:val="00AD62DD"/>
    <w:rsid w:val="00AF44FD"/>
    <w:rsid w:val="00B11EF7"/>
    <w:rsid w:val="00B16B76"/>
    <w:rsid w:val="00B64E51"/>
    <w:rsid w:val="00B82CE4"/>
    <w:rsid w:val="00B85AC3"/>
    <w:rsid w:val="00B87C70"/>
    <w:rsid w:val="00BA6537"/>
    <w:rsid w:val="00BB00E4"/>
    <w:rsid w:val="00BE7AA5"/>
    <w:rsid w:val="00C07F3F"/>
    <w:rsid w:val="00C54A1F"/>
    <w:rsid w:val="00C92A1F"/>
    <w:rsid w:val="00CA7E84"/>
    <w:rsid w:val="00CD3E19"/>
    <w:rsid w:val="00CE2E6F"/>
    <w:rsid w:val="00D03006"/>
    <w:rsid w:val="00DC6EBF"/>
    <w:rsid w:val="00DF7E8F"/>
    <w:rsid w:val="00E0775F"/>
    <w:rsid w:val="00E73345"/>
    <w:rsid w:val="00F536E4"/>
    <w:rsid w:val="042D0042"/>
    <w:rsid w:val="05EE060F"/>
    <w:rsid w:val="21163CEB"/>
    <w:rsid w:val="23D766BD"/>
    <w:rsid w:val="2B13435B"/>
    <w:rsid w:val="2B4FF205"/>
    <w:rsid w:val="37F96102"/>
    <w:rsid w:val="38E52CA5"/>
    <w:rsid w:val="3A5D3162"/>
    <w:rsid w:val="3FD55E5D"/>
    <w:rsid w:val="463A1234"/>
    <w:rsid w:val="50135E5E"/>
    <w:rsid w:val="51325A5B"/>
    <w:rsid w:val="52AF34B4"/>
    <w:rsid w:val="52E6015F"/>
    <w:rsid w:val="571D6883"/>
    <w:rsid w:val="5B630F51"/>
    <w:rsid w:val="5F7647DB"/>
    <w:rsid w:val="626976A1"/>
    <w:rsid w:val="63FE583D"/>
    <w:rsid w:val="65844E4A"/>
    <w:rsid w:val="6760782A"/>
    <w:rsid w:val="6D6158CB"/>
    <w:rsid w:val="710C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160</Words>
  <Characters>914</Characters>
  <Lines>7</Lines>
  <Paragraphs>2</Paragraphs>
  <TotalTime>0</TotalTime>
  <ScaleCrop>false</ScaleCrop>
  <LinksUpToDate>false</LinksUpToDate>
  <CharactersWithSpaces>1072</CharactersWithSpaces>
  <Application>WPS Office_1.2.5.490_F1E327BC-269C-435d-A152-05C5408002CA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2018-06-26T23:19:00Z</dcterms:created>
  <dc:creator>Administrator</dc:creator>
  <cp:lastModifiedBy>wangxiao</cp:lastModifiedBy>
  <dcterms:modified xsi:type="dcterms:W3CDTF">2018-10-24T16:42:36Z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2052-1.2.5.490</vt:lpwstr>
  </property>
</Properties>
</file>