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7" w:rsidRDefault="00806A4A">
      <w:pPr>
        <w:spacing w:line="360" w:lineRule="exact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</w:rPr>
        <w:t>教师教科研奖</w:t>
      </w:r>
    </w:p>
    <w:p w:rsidR="000C47D7" w:rsidRDefault="00806A4A">
      <w:pPr>
        <w:spacing w:line="360" w:lineRule="exact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（初稿）</w:t>
      </w:r>
    </w:p>
    <w:p w:rsidR="000C47D7" w:rsidRDefault="00806A4A">
      <w:pPr>
        <w:pStyle w:val="1"/>
        <w:numPr>
          <w:ilvl w:val="0"/>
          <w:numId w:val="1"/>
        </w:numPr>
        <w:spacing w:line="360" w:lineRule="exact"/>
        <w:ind w:firstLineChars="0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教师论文发表或获奖</w:t>
      </w:r>
    </w:p>
    <w:p w:rsidR="000C47D7" w:rsidRDefault="00806A4A">
      <w:pPr>
        <w:spacing w:line="360" w:lineRule="exact"/>
        <w:jc w:val="lef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、论文发表：市级以上发表（有合法刊号，对外发行的正式刊物）：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</w:t>
      </w:r>
    </w:p>
    <w:p w:rsidR="000C47D7" w:rsidRDefault="00806A4A">
      <w:pPr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、论文获奖：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市级及以上获奖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由教育行政部门或教育专业机构组织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)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：一等奖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篇，二等奖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篇，三等奖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60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篇；区级获奖：一等奖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篇，二等奖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篇，三等奖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篇。（同一篇论文多次获奖取最高奖项。）</w:t>
      </w:r>
    </w:p>
    <w:p w:rsidR="000C47D7" w:rsidRDefault="00806A4A">
      <w:pPr>
        <w:spacing w:line="360" w:lineRule="exac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（二）公开课</w:t>
      </w:r>
    </w:p>
    <w:p w:rsidR="000C47D7" w:rsidRDefault="00806A4A" w:rsidP="000C47D7">
      <w:pPr>
        <w:spacing w:line="360" w:lineRule="exact"/>
        <w:ind w:firstLineChars="257" w:firstLine="54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1.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公开课：全国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省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市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区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校（含家长开放日）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分。</w:t>
      </w:r>
    </w:p>
    <w:p w:rsidR="000C47D7" w:rsidRDefault="00806A4A" w:rsidP="000C47D7">
      <w:pPr>
        <w:spacing w:line="360" w:lineRule="exact"/>
        <w:ind w:firstLineChars="257" w:firstLine="54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2.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市、区调研课被鉴定为优者加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分，良者加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分。</w:t>
      </w:r>
    </w:p>
    <w:p w:rsidR="000C47D7" w:rsidRDefault="00806A4A">
      <w:pPr>
        <w:spacing w:line="360" w:lineRule="exact"/>
        <w:jc w:val="lef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（三）有关学校教育教学工作的报道奖励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省级三百字以上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三百字以下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市级三百字以上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三百字以下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图片报道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分／张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区级及网络报道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校级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10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分／篇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</w:t>
      </w:r>
    </w:p>
    <w:p w:rsidR="000C47D7" w:rsidRDefault="00806A4A">
      <w:pPr>
        <w:spacing w:line="400" w:lineRule="exact"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注：同一篇文章靠最高奖励，不重复享受。</w:t>
      </w:r>
    </w:p>
    <w:p w:rsidR="000C47D7" w:rsidRDefault="00806A4A">
      <w:pPr>
        <w:spacing w:line="360" w:lineRule="exact"/>
        <w:jc w:val="lef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（四）教学基本功竞赛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⑴全国一等奖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优秀奖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⑵省一等奖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400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鼓励奖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⑶市一等奖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鼓励奖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⑷区一等奖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⑸校一等奖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注：非政府或教育主管部门组织的，经校长室同意参加的酌情奖励。</w:t>
      </w:r>
    </w:p>
    <w:p w:rsidR="000C47D7" w:rsidRDefault="00806A4A">
      <w:pPr>
        <w:spacing w:line="360" w:lineRule="exact"/>
        <w:jc w:val="lef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（五）讲座</w:t>
      </w:r>
    </w:p>
    <w:p w:rsidR="000C47D7" w:rsidRDefault="00806A4A">
      <w:pPr>
        <w:spacing w:line="400" w:lineRule="exac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在国家、省、市、区、校作教育教学专题讲座，分别奖励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分。非教育教学讲座，奖金减半。常州市名师工作室和区培育室的讲座奖励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6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分，三井教育集团的讲座奖励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5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分。（讲座已获得报酬的，学校不予奖励）</w:t>
      </w:r>
    </w:p>
    <w:p w:rsidR="000C47D7" w:rsidRDefault="00806A4A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</w:rPr>
        <w:t>（六）课题研究</w:t>
      </w:r>
    </w:p>
    <w:p w:rsidR="000C47D7" w:rsidRDefault="00806A4A">
      <w:pPr>
        <w:spacing w:line="400" w:lineRule="exac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、研究课题获得国家、省、市、区、校级立项、中期评估、结题，每项课题分别获得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1200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750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分的奖励。如果被确立为国家、省、市级重点课题，则在原有基础上按照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1.5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的系数计算。（每项课题的奖励由课题主持人根据课题组成员的分工等进行分配。）</w:t>
      </w:r>
    </w:p>
    <w:p w:rsidR="000C47D7" w:rsidRDefault="00806A4A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、不同级别的课题研究，按国家级、省级、市级、区级，学校分别给予每学期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75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45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分、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分的课题活动经费，由各课题组自行安排，从办公经费支出）。</w:t>
      </w:r>
    </w:p>
    <w:p w:rsidR="000C47D7" w:rsidRDefault="00806A4A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</w:rPr>
        <w:t>（七）评委奖励</w:t>
      </w:r>
    </w:p>
    <w:p w:rsidR="000C47D7" w:rsidRDefault="00806A4A">
      <w:pPr>
        <w:spacing w:line="400" w:lineRule="exact"/>
        <w:ind w:firstLineChars="150" w:firstLine="315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学校组织的各类与教师专业成长有关活动的评委加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40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天。</w:t>
      </w:r>
    </w:p>
    <w:p w:rsidR="000C47D7" w:rsidRDefault="00806A4A">
      <w:pPr>
        <w:spacing w:line="360" w:lineRule="exact"/>
        <w:ind w:firstLineChars="98" w:firstLine="207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（八）青蓝工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程</w:t>
      </w:r>
    </w:p>
    <w:p w:rsidR="000C47D7" w:rsidRDefault="00806A4A">
      <w:pPr>
        <w:spacing w:line="360" w:lineRule="exact"/>
        <w:ind w:firstLineChars="150" w:firstLine="315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师徒结对活动中，师傅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学年，优秀徒弟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学年。每月考核，师徒手册及时上传，缺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次，师傅扣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分，徒弟扣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分。</w:t>
      </w:r>
    </w:p>
    <w:p w:rsidR="000C47D7" w:rsidRDefault="00806A4A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</w:rPr>
        <w:lastRenderedPageBreak/>
        <w:t>（九）骨干教师</w:t>
      </w:r>
    </w:p>
    <w:p w:rsidR="000C47D7" w:rsidRDefault="00806A4A">
      <w:pPr>
        <w:spacing w:line="400" w:lineRule="exac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、在考核范围内的骨干教师考核办法参见《常州市新北区骨干教师管理办法》。鉴定为合格者，学校通过绩效工资给予最高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元的奖励。</w:t>
      </w:r>
    </w:p>
    <w:p w:rsidR="000C47D7" w:rsidRDefault="00806A4A">
      <w:pPr>
        <w:ind w:firstLineChars="100" w:firstLine="21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、非考核范围内的骨干教师参见《飞龙实验小学骨干教师管理办法》。每学年根据实绩，通过绩效工资给予最高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300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元的奖励。</w:t>
      </w:r>
    </w:p>
    <w:p w:rsidR="000C47D7" w:rsidRDefault="00806A4A">
      <w:pPr>
        <w:ind w:firstLineChars="100" w:firstLine="211"/>
        <w:rPr>
          <w:rFonts w:asciiTheme="majorEastAsia" w:eastAsiaTheme="majorEastAsia" w:hAnsiTheme="majorEastAsia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1"/>
          <w:szCs w:val="21"/>
        </w:rPr>
        <w:t>（十）专业成长的考核</w:t>
      </w:r>
    </w:p>
    <w:p w:rsidR="000C47D7" w:rsidRDefault="00806A4A" w:rsidP="000C47D7">
      <w:pPr>
        <w:spacing w:line="360" w:lineRule="exact"/>
        <w:ind w:firstLineChars="257" w:firstLine="54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、每年被评为学校优秀教育工作者的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年。</w:t>
      </w:r>
    </w:p>
    <w:p w:rsidR="000C47D7" w:rsidRDefault="00806A4A">
      <w:pPr>
        <w:spacing w:line="360" w:lineRule="exact"/>
        <w:ind w:firstLineChars="250" w:firstLine="525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、教师单项素养比赛：</w:t>
      </w:r>
    </w:p>
    <w:p w:rsidR="000C47D7" w:rsidRDefault="00806A4A">
      <w:pPr>
        <w:spacing w:line="360" w:lineRule="exact"/>
        <w:ind w:firstLineChars="350" w:firstLine="735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）市级上一等奖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</w:t>
      </w:r>
    </w:p>
    <w:p w:rsidR="000C47D7" w:rsidRDefault="00806A4A">
      <w:pPr>
        <w:spacing w:line="360" w:lineRule="exact"/>
        <w:ind w:firstLineChars="350" w:firstLine="735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）区一等奖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80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三等奖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806A4A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3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）校一等奖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   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二等奖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</w:p>
    <w:p w:rsidR="000C47D7" w:rsidRDefault="000C47D7">
      <w:pPr>
        <w:spacing w:line="360" w:lineRule="exact"/>
        <w:ind w:firstLineChars="342" w:firstLine="718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0C47D7" w:rsidRDefault="00806A4A">
      <w:pPr>
        <w:spacing w:line="360" w:lineRule="exact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>附：教科研月考核奖</w:t>
      </w:r>
    </w:p>
    <w:p w:rsidR="000C47D7" w:rsidRDefault="00806A4A">
      <w:pPr>
        <w:pStyle w:val="1"/>
        <w:numPr>
          <w:ilvl w:val="0"/>
          <w:numId w:val="2"/>
        </w:numPr>
        <w:spacing w:line="360" w:lineRule="exact"/>
        <w:ind w:firstLineChars="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按学校要求认真完成教学反思和读书笔记；按时上交钢笔字、教学反思、论文、教学设计、案例等积极参加各类评比；积极参加课题研究，有过程性研究资料，每月可得教育科研奖</w:t>
      </w:r>
      <w:r>
        <w:rPr>
          <w:rFonts w:ascii="宋体" w:eastAsia="宋体" w:hAnsi="宋体" w:hint="eastAsia"/>
          <w:color w:val="000000"/>
          <w:sz w:val="21"/>
          <w:szCs w:val="21"/>
        </w:rPr>
        <w:t>50</w:t>
      </w:r>
      <w:r>
        <w:rPr>
          <w:rFonts w:ascii="宋体" w:eastAsia="宋体" w:hAnsi="宋体" w:hint="eastAsia"/>
          <w:color w:val="000000"/>
          <w:sz w:val="21"/>
          <w:szCs w:val="21"/>
        </w:rPr>
        <w:t>分。（缺</w:t>
      </w:r>
      <w:r>
        <w:rPr>
          <w:rFonts w:ascii="宋体" w:eastAsia="宋体" w:hAnsi="宋体" w:hint="eastAsia"/>
          <w:color w:val="000000"/>
          <w:sz w:val="21"/>
          <w:szCs w:val="21"/>
        </w:rPr>
        <w:t xml:space="preserve">1 </w:t>
      </w:r>
      <w:r>
        <w:rPr>
          <w:rFonts w:ascii="宋体" w:eastAsia="宋体" w:hAnsi="宋体" w:hint="eastAsia"/>
          <w:color w:val="000000"/>
          <w:sz w:val="21"/>
          <w:szCs w:val="21"/>
        </w:rPr>
        <w:t>次扣</w:t>
      </w:r>
      <w:r>
        <w:rPr>
          <w:rFonts w:ascii="宋体" w:eastAsia="宋体" w:hAnsi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hint="eastAsia"/>
          <w:color w:val="000000"/>
          <w:sz w:val="21"/>
          <w:szCs w:val="21"/>
        </w:rPr>
        <w:t>分）</w:t>
      </w:r>
    </w:p>
    <w:p w:rsidR="000C47D7" w:rsidRDefault="00806A4A">
      <w:pPr>
        <w:pStyle w:val="1"/>
        <w:numPr>
          <w:ilvl w:val="0"/>
          <w:numId w:val="2"/>
        </w:numPr>
        <w:spacing w:line="360" w:lineRule="exact"/>
        <w:ind w:firstLineChars="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师徒结对活动中，师傅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学年，优秀徒弟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/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学年。每月考核，师徒手册及时上传，缺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次，师傅扣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分，徒弟扣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5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分。</w:t>
      </w:r>
    </w:p>
    <w:sectPr w:rsidR="000C47D7" w:rsidSect="000C4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4A" w:rsidRDefault="00806A4A" w:rsidP="00806A4A">
      <w:r>
        <w:separator/>
      </w:r>
    </w:p>
  </w:endnote>
  <w:endnote w:type="continuationSeparator" w:id="1">
    <w:p w:rsidR="00806A4A" w:rsidRDefault="00806A4A" w:rsidP="0080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A" w:rsidRDefault="00806A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95"/>
      <w:docPartObj>
        <w:docPartGallery w:val="Page Numbers (Bottom of Page)"/>
        <w:docPartUnique/>
      </w:docPartObj>
    </w:sdtPr>
    <w:sdtContent>
      <w:p w:rsidR="00806A4A" w:rsidRDefault="00806A4A">
        <w:pPr>
          <w:pStyle w:val="a3"/>
          <w:jc w:val="center"/>
        </w:pPr>
        <w:fldSimple w:instr=" PAGE   \* MERGEFORMAT ">
          <w:r w:rsidRPr="00806A4A">
            <w:rPr>
              <w:noProof/>
              <w:lang w:val="zh-CN"/>
            </w:rPr>
            <w:t>1</w:t>
          </w:r>
        </w:fldSimple>
      </w:p>
    </w:sdtContent>
  </w:sdt>
  <w:p w:rsidR="00806A4A" w:rsidRDefault="00806A4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A" w:rsidRDefault="00806A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4A" w:rsidRDefault="00806A4A" w:rsidP="00806A4A">
      <w:r>
        <w:separator/>
      </w:r>
    </w:p>
  </w:footnote>
  <w:footnote w:type="continuationSeparator" w:id="1">
    <w:p w:rsidR="00806A4A" w:rsidRDefault="00806A4A" w:rsidP="00806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A" w:rsidRDefault="00806A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A" w:rsidRDefault="00806A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A" w:rsidRDefault="00806A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DFD"/>
    <w:multiLevelType w:val="multilevel"/>
    <w:tmpl w:val="3B4A3D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96DC2"/>
    <w:multiLevelType w:val="multilevel"/>
    <w:tmpl w:val="57396DC2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6CB"/>
    <w:rsid w:val="000443AB"/>
    <w:rsid w:val="00062626"/>
    <w:rsid w:val="000C47D7"/>
    <w:rsid w:val="001D5557"/>
    <w:rsid w:val="002620DB"/>
    <w:rsid w:val="00284329"/>
    <w:rsid w:val="003C5026"/>
    <w:rsid w:val="004436CB"/>
    <w:rsid w:val="004B7A27"/>
    <w:rsid w:val="00806A4A"/>
    <w:rsid w:val="008D7DDD"/>
    <w:rsid w:val="00A165DC"/>
    <w:rsid w:val="00C52200"/>
    <w:rsid w:val="00D946C9"/>
    <w:rsid w:val="00E80113"/>
    <w:rsid w:val="3B12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7"/>
    <w:pPr>
      <w:widowControl w:val="0"/>
      <w:jc w:val="both"/>
    </w:pPr>
    <w:rPr>
      <w:rFonts w:ascii="Times New Roman" w:eastAsia="楷体_GB2312" w:hAnsi="Times New Roman" w:cs="Times New Roman"/>
      <w:color w:val="FF0000"/>
      <w:kern w:val="2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C47D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C47D7"/>
    <w:rPr>
      <w:rFonts w:ascii="Times New Roman" w:eastAsia="楷体_GB2312" w:hAnsi="Times New Roman" w:cs="Times New Roman"/>
      <w:color w:val="FF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47D7"/>
    <w:rPr>
      <w:rFonts w:ascii="Times New Roman" w:eastAsia="楷体_GB2312" w:hAnsi="Times New Roman" w:cs="Times New Roman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D0A7C1-5A55-4133-9D4A-1BB93898D36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</cp:revision>
  <cp:lastPrinted>2017-10-15T23:32:00Z</cp:lastPrinted>
  <dcterms:created xsi:type="dcterms:W3CDTF">2017-10-14T12:21:00Z</dcterms:created>
  <dcterms:modified xsi:type="dcterms:W3CDTF">2017-10-15T23:32:00Z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