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819" w:rsidRDefault="009A7819" w:rsidP="009A7819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2018年</w:t>
      </w:r>
      <w:r w:rsidR="00BE7192">
        <w:rPr>
          <w:rFonts w:ascii="方正小标宋简体" w:eastAsia="方正小标宋简体" w:hint="eastAsia"/>
          <w:b/>
          <w:sz w:val="36"/>
          <w:szCs w:val="36"/>
        </w:rPr>
        <w:t>下半年</w:t>
      </w:r>
      <w:r>
        <w:rPr>
          <w:rFonts w:ascii="方正小标宋简体" w:eastAsia="方正小标宋简体" w:hint="eastAsia"/>
          <w:b/>
          <w:sz w:val="36"/>
          <w:szCs w:val="36"/>
        </w:rPr>
        <w:t>新北区责任督学挂牌督导工作要点</w:t>
      </w:r>
    </w:p>
    <w:tbl>
      <w:tblPr>
        <w:tblpPr w:leftFromText="180" w:rightFromText="180" w:vertAnchor="page" w:horzAnchor="margin" w:tblpY="2731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"/>
        <w:gridCol w:w="2693"/>
        <w:gridCol w:w="2410"/>
        <w:gridCol w:w="1882"/>
        <w:gridCol w:w="1520"/>
      </w:tblGrid>
      <w:tr w:rsidR="009A7819" w:rsidTr="00CE7417">
        <w:trPr>
          <w:trHeight w:val="6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Default="009A781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月份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Default="009A781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本月督导内容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Default="009A781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督导重点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Default="009A781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督导方式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Default="009A781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9A7819" w:rsidTr="00CE7417">
        <w:trPr>
          <w:trHeight w:val="15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Default="009A781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七月</w:t>
            </w:r>
          </w:p>
          <w:p w:rsidR="009A7819" w:rsidRDefault="009A781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八月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19" w:rsidRDefault="009A7819" w:rsidP="006B7F4C">
            <w:pPr>
              <w:numPr>
                <w:ilvl w:val="0"/>
                <w:numId w:val="2"/>
              </w:num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招生收费专项督导。</w:t>
            </w:r>
          </w:p>
          <w:p w:rsidR="009A7819" w:rsidRDefault="009A781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2.暑期规范办学行为随机督导；</w:t>
            </w:r>
          </w:p>
          <w:p w:rsidR="009A7819" w:rsidRDefault="009A781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</w:t>
            </w:r>
            <w:r w:rsidR="00CE7417">
              <w:rPr>
                <w:rFonts w:ascii="仿宋_GB2312" w:eastAsia="仿宋_GB2312" w:hAnsi="仿宋_GB2312" w:cs="仿宋_GB2312" w:hint="eastAsia"/>
                <w:szCs w:val="21"/>
              </w:rPr>
              <w:t>秋季开学工作专项督导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</w:p>
          <w:p w:rsidR="009A7819" w:rsidRDefault="009A7819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Default="009A781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新学期招生、收费、择校情况、学校安全工作情况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Default="009A781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现场察看</w:t>
            </w:r>
          </w:p>
          <w:p w:rsidR="009A7819" w:rsidRDefault="009A781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资料查阅</w:t>
            </w:r>
          </w:p>
          <w:p w:rsidR="009A7819" w:rsidRDefault="009A781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了解访谈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Default="009A781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可通过问卷、走访、座谈等方式进行。</w:t>
            </w:r>
          </w:p>
        </w:tc>
      </w:tr>
      <w:tr w:rsidR="009A7819" w:rsidTr="00CE7417">
        <w:trPr>
          <w:trHeight w:val="15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Default="009A781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九月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Default="009A781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</w:t>
            </w:r>
            <w:r w:rsidR="00CE7417">
              <w:rPr>
                <w:rFonts w:ascii="仿宋_GB2312" w:eastAsia="仿宋_GB2312" w:hAnsi="仿宋_GB2312" w:cs="仿宋_GB2312" w:hint="eastAsia"/>
                <w:szCs w:val="21"/>
              </w:rPr>
              <w:t>开学工作常规督导。</w:t>
            </w:r>
          </w:p>
          <w:p w:rsidR="009A7819" w:rsidRDefault="009A7819" w:rsidP="00CE7417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</w:t>
            </w:r>
            <w:r w:rsidR="00CE7417">
              <w:rPr>
                <w:rFonts w:ascii="仿宋_GB2312" w:eastAsia="仿宋_GB2312" w:hAnsi="仿宋_GB2312" w:cs="仿宋_GB2312" w:hint="eastAsia"/>
                <w:szCs w:val="21"/>
              </w:rPr>
              <w:t>文明城市督查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  <w:p w:rsidR="00CE7417" w:rsidRDefault="00CE7417" w:rsidP="00CE7417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3.创新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区材料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省级审核。</w:t>
            </w:r>
          </w:p>
          <w:p w:rsidR="00CE7417" w:rsidRDefault="00CE7417" w:rsidP="00CE7417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4.创新区学校</w:t>
            </w:r>
            <w:r w:rsidR="00BE7192"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proofErr w:type="gramStart"/>
            <w:r w:rsidR="00BE7192"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责任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督学办公室材料等准备工作区级督查；</w:t>
            </w:r>
          </w:p>
          <w:p w:rsidR="00CE7417" w:rsidRPr="00CE7417" w:rsidRDefault="00CE7417" w:rsidP="00CE741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19" w:rsidRDefault="009A781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学校开学工作准备情况</w:t>
            </w:r>
          </w:p>
          <w:p w:rsidR="009A7819" w:rsidRDefault="00CE7417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文明城市创建工作</w:t>
            </w:r>
          </w:p>
          <w:p w:rsidR="00BE7192" w:rsidRDefault="00BE7192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学校、片区责任督学工作创建准备情况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Default="009A781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现场察看</w:t>
            </w:r>
          </w:p>
          <w:p w:rsidR="009A7819" w:rsidRDefault="009A781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资料查阅</w:t>
            </w:r>
          </w:p>
          <w:p w:rsidR="009A7819" w:rsidRDefault="009A781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了解访谈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Default="009A7819" w:rsidP="00BE7192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开学准备工作督查可与</w:t>
            </w:r>
            <w:r w:rsidR="00BE7192">
              <w:rPr>
                <w:rFonts w:ascii="仿宋_GB2312" w:eastAsia="仿宋_GB2312" w:hAnsi="仿宋_GB2312" w:cs="仿宋_GB2312" w:hint="eastAsia"/>
                <w:szCs w:val="21"/>
              </w:rPr>
              <w:t>文明城市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专项督查结合。</w:t>
            </w:r>
          </w:p>
        </w:tc>
      </w:tr>
      <w:tr w:rsidR="009A7819" w:rsidTr="00CE7417">
        <w:trPr>
          <w:trHeight w:val="15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Default="009A781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十月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Default="009A781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1.对上月督导发现的问题进行整改回访；</w:t>
            </w:r>
          </w:p>
          <w:p w:rsidR="009A7819" w:rsidRDefault="009A781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</w:t>
            </w:r>
            <w:r w:rsidR="006022F9">
              <w:rPr>
                <w:rFonts w:ascii="仿宋_GB2312" w:eastAsia="仿宋_GB2312" w:hAnsi="仿宋_GB2312" w:cs="仿宋_GB2312" w:hint="eastAsia"/>
                <w:szCs w:val="21"/>
              </w:rPr>
              <w:t>创新区现场核查准备</w:t>
            </w:r>
            <w:r w:rsidR="00CE7417"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  <w:p w:rsidR="009A7819" w:rsidRDefault="00BE7192" w:rsidP="00BE7192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 w:rsidR="009A7819"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 w:rsidR="00CE7417">
              <w:rPr>
                <w:rFonts w:ascii="仿宋_GB2312" w:eastAsia="仿宋_GB2312" w:hAnsi="仿宋_GB2312" w:cs="仿宋_GB2312" w:hint="eastAsia"/>
                <w:szCs w:val="21"/>
              </w:rPr>
              <w:t>创新区省级现场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核查</w:t>
            </w:r>
            <w:r w:rsidR="00CE7417"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Default="006022F9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责任督学、学校根据现场核查要点准备。</w:t>
            </w:r>
          </w:p>
          <w:p w:rsidR="00CE7417" w:rsidRDefault="00CE7417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7417" w:rsidRPr="00CE7417" w:rsidRDefault="00CE741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Default="009A781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现场察看</w:t>
            </w:r>
          </w:p>
          <w:p w:rsidR="009A7819" w:rsidRDefault="009A781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资料查阅</w:t>
            </w:r>
          </w:p>
          <w:p w:rsidR="009A7819" w:rsidRDefault="009A781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了解访谈</w:t>
            </w:r>
          </w:p>
          <w:p w:rsidR="009A7819" w:rsidRDefault="009A781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问卷调查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Default="009A7819" w:rsidP="006022F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重点</w:t>
            </w:r>
            <w:r w:rsidR="006022F9">
              <w:rPr>
                <w:rFonts w:ascii="仿宋_GB2312" w:eastAsia="仿宋_GB2312" w:hAnsi="仿宋_GB2312" w:cs="仿宋_GB2312" w:hint="eastAsia"/>
                <w:szCs w:val="21"/>
              </w:rPr>
              <w:t>准备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老师的上课和</w:t>
            </w:r>
            <w:r w:rsidR="006022F9">
              <w:rPr>
                <w:rFonts w:ascii="仿宋_GB2312" w:eastAsia="仿宋_GB2312" w:hAnsi="仿宋_GB2312" w:cs="仿宋_GB2312" w:hint="eastAsia"/>
                <w:szCs w:val="21"/>
              </w:rPr>
              <w:t>师生访谈、督导网页、督学办公室材料、布置等，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学校</w:t>
            </w:r>
            <w:r w:rsidR="006022F9">
              <w:rPr>
                <w:rFonts w:ascii="仿宋_GB2312" w:eastAsia="仿宋_GB2312" w:hAnsi="仿宋_GB2312" w:cs="仿宋_GB2312" w:hint="eastAsia"/>
                <w:szCs w:val="21"/>
              </w:rPr>
              <w:t>学校</w:t>
            </w:r>
            <w:proofErr w:type="gramEnd"/>
            <w:r w:rsidR="006022F9">
              <w:rPr>
                <w:rFonts w:ascii="仿宋_GB2312" w:eastAsia="仿宋_GB2312" w:hAnsi="仿宋_GB2312" w:cs="仿宋_GB2312" w:hint="eastAsia"/>
                <w:szCs w:val="21"/>
              </w:rPr>
              <w:t>现场察看路线介绍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</w:tc>
      </w:tr>
      <w:tr w:rsidR="009A7819" w:rsidTr="00CE7417">
        <w:trPr>
          <w:trHeight w:val="15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Default="009A781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十一月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Pr="00BE7192" w:rsidRDefault="00BE7192" w:rsidP="00BE7192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</w:t>
            </w:r>
            <w:r w:rsidR="009A7819" w:rsidRPr="00BE7192">
              <w:rPr>
                <w:rFonts w:ascii="仿宋_GB2312" w:eastAsia="仿宋_GB2312" w:hAnsi="仿宋_GB2312" w:cs="仿宋_GB2312" w:hint="eastAsia"/>
                <w:szCs w:val="21"/>
              </w:rPr>
              <w:t>规范办学行为专项督导。</w:t>
            </w:r>
          </w:p>
          <w:p w:rsidR="00BE7192" w:rsidRPr="00BE7192" w:rsidRDefault="00BE7192" w:rsidP="00BE7192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</w:t>
            </w:r>
            <w:r w:rsidRPr="00BE7192">
              <w:rPr>
                <w:rFonts w:ascii="仿宋_GB2312" w:eastAsia="仿宋_GB2312" w:hAnsi="仿宋_GB2312" w:cs="仿宋_GB2312" w:hint="eastAsia"/>
                <w:szCs w:val="21"/>
              </w:rPr>
              <w:t>国家创新区申报和问卷。</w:t>
            </w:r>
          </w:p>
          <w:p w:rsidR="00BE7192" w:rsidRPr="006022F9" w:rsidRDefault="006022F9" w:rsidP="006022F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3.对省级督查问题整改。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Default="009A781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作息时间、课程设置、</w:t>
            </w:r>
          </w:p>
          <w:p w:rsidR="009A7819" w:rsidRDefault="009A781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考试评价、招生管理、</w:t>
            </w:r>
          </w:p>
          <w:p w:rsidR="009A7819" w:rsidRDefault="009A781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教学行为、教辅用书等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Default="009A781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现场察看</w:t>
            </w:r>
          </w:p>
          <w:p w:rsidR="009A7819" w:rsidRDefault="009A781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了解访谈</w:t>
            </w:r>
          </w:p>
          <w:p w:rsidR="009A7819" w:rsidRDefault="009A781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问卷调查</w:t>
            </w:r>
          </w:p>
          <w:p w:rsidR="009A7819" w:rsidRDefault="009A781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随机听课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Default="006022F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对省级材料审核和现场核查问题进行整改</w:t>
            </w:r>
            <w:r w:rsidR="009A7819"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</w:tc>
      </w:tr>
      <w:tr w:rsidR="009A7819" w:rsidTr="00CE7417">
        <w:trPr>
          <w:trHeight w:val="15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Default="009A781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十二月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Default="009A781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1.对上月督导发现的问题进行整改回访；</w:t>
            </w:r>
          </w:p>
          <w:p w:rsidR="009A7819" w:rsidRDefault="009A781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2.责任区综合督导；</w:t>
            </w:r>
          </w:p>
          <w:p w:rsidR="009A7819" w:rsidRDefault="009A7819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3.中小学校欺凌工作防治情况。</w:t>
            </w:r>
          </w:p>
          <w:p w:rsidR="00BE7192" w:rsidRDefault="00BE7192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4.准备创新区国家级现场核查。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Default="009A781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校务管理、师生管理、教学管理、安全管理、食堂管理、校园欺凌防治等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Default="009A781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现场察看</w:t>
            </w:r>
          </w:p>
          <w:p w:rsidR="009A7819" w:rsidRDefault="009A781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资料查阅</w:t>
            </w:r>
          </w:p>
          <w:p w:rsidR="009A7819" w:rsidRDefault="009A781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了解访谈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19" w:rsidRDefault="006022F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根据国家级核查要求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作准备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，迎接国家级现场核查</w:t>
            </w:r>
            <w:r w:rsidR="009A7819"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</w:tc>
      </w:tr>
    </w:tbl>
    <w:p w:rsidR="009A7819" w:rsidRDefault="009A7819" w:rsidP="009A7819">
      <w:pPr>
        <w:rPr>
          <w:b/>
          <w:sz w:val="24"/>
        </w:rPr>
      </w:pPr>
    </w:p>
    <w:p w:rsidR="009A7819" w:rsidRDefault="009A7819" w:rsidP="009A7819">
      <w:pPr>
        <w:rPr>
          <w:b/>
          <w:sz w:val="24"/>
        </w:rPr>
      </w:pPr>
    </w:p>
    <w:p w:rsidR="009A7819" w:rsidRDefault="009A7819" w:rsidP="009A7819">
      <w:pPr>
        <w:rPr>
          <w:b/>
          <w:sz w:val="24"/>
        </w:rPr>
      </w:pPr>
    </w:p>
    <w:p w:rsidR="009A7819" w:rsidRDefault="009A7819" w:rsidP="009A7819">
      <w:pPr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各责任区挂牌督导工作计划和工作重点可在</w:t>
      </w:r>
      <w:proofErr w:type="gramStart"/>
      <w:r>
        <w:rPr>
          <w:rFonts w:hint="eastAsia"/>
          <w:sz w:val="24"/>
        </w:rPr>
        <w:t>参考区</w:t>
      </w:r>
      <w:proofErr w:type="gramEnd"/>
      <w:r>
        <w:rPr>
          <w:rFonts w:hint="eastAsia"/>
          <w:sz w:val="24"/>
        </w:rPr>
        <w:t>教育督导室挂牌督导工作要点的基础上，根据责任区学校实际情况制订；</w:t>
      </w:r>
    </w:p>
    <w:p w:rsidR="009A7819" w:rsidRPr="00013CC6" w:rsidRDefault="00013CC6" w:rsidP="009A7819">
      <w:pPr>
        <w:rPr>
          <w:sz w:val="24"/>
        </w:rPr>
      </w:pPr>
      <w:r>
        <w:rPr>
          <w:rFonts w:hint="eastAsia"/>
          <w:sz w:val="24"/>
        </w:rPr>
        <w:t>2</w:t>
      </w:r>
      <w:r w:rsidR="009A7819">
        <w:rPr>
          <w:sz w:val="24"/>
        </w:rPr>
        <w:t xml:space="preserve">. </w:t>
      </w:r>
      <w:r w:rsidR="009A7819">
        <w:rPr>
          <w:rFonts w:hint="eastAsia"/>
          <w:sz w:val="24"/>
        </w:rPr>
        <w:t>各责任督学根据区教育督导室</w:t>
      </w:r>
      <w:r w:rsidR="009A7819">
        <w:rPr>
          <w:sz w:val="24"/>
        </w:rPr>
        <w:t>2018</w:t>
      </w:r>
      <w:r w:rsidR="009A7819">
        <w:rPr>
          <w:rFonts w:hint="eastAsia"/>
          <w:sz w:val="24"/>
        </w:rPr>
        <w:t>年</w:t>
      </w:r>
      <w:r w:rsidR="006022F9">
        <w:rPr>
          <w:rFonts w:hint="eastAsia"/>
          <w:sz w:val="24"/>
        </w:rPr>
        <w:t>下半年</w:t>
      </w:r>
      <w:r w:rsidR="009A7819">
        <w:rPr>
          <w:rFonts w:hint="eastAsia"/>
          <w:sz w:val="24"/>
        </w:rPr>
        <w:t>挂牌督导工作要点和责任区工作计划，及时拟定工作计划和工作重点。</w:t>
      </w:r>
    </w:p>
    <w:p w:rsidR="009A7819" w:rsidRDefault="009A7819" w:rsidP="009A7819"/>
    <w:sectPr w:rsidR="009A7819" w:rsidSect="00692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60C" w:rsidRDefault="00EB660C" w:rsidP="009A7819">
      <w:r>
        <w:separator/>
      </w:r>
    </w:p>
  </w:endnote>
  <w:endnote w:type="continuationSeparator" w:id="0">
    <w:p w:rsidR="00EB660C" w:rsidRDefault="00EB660C" w:rsidP="009A7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60C" w:rsidRDefault="00EB660C" w:rsidP="009A7819">
      <w:r>
        <w:separator/>
      </w:r>
    </w:p>
  </w:footnote>
  <w:footnote w:type="continuationSeparator" w:id="0">
    <w:p w:rsidR="00EB660C" w:rsidRDefault="00EB660C" w:rsidP="009A78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D22B6"/>
    <w:multiLevelType w:val="hybridMultilevel"/>
    <w:tmpl w:val="91668FFA"/>
    <w:lvl w:ilvl="0" w:tplc="0088A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93BADD"/>
    <w:multiLevelType w:val="singleLevel"/>
    <w:tmpl w:val="5A93BADD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5A93BC6D"/>
    <w:multiLevelType w:val="singleLevel"/>
    <w:tmpl w:val="5A93BC6D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>
    <w:nsid w:val="5E0958A3"/>
    <w:multiLevelType w:val="hybridMultilevel"/>
    <w:tmpl w:val="E0BAD692"/>
    <w:lvl w:ilvl="0" w:tplc="1E4A456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819"/>
    <w:rsid w:val="00013CC6"/>
    <w:rsid w:val="006022F9"/>
    <w:rsid w:val="006926F5"/>
    <w:rsid w:val="009A7819"/>
    <w:rsid w:val="00BE7192"/>
    <w:rsid w:val="00C72EA9"/>
    <w:rsid w:val="00CE7417"/>
    <w:rsid w:val="00EB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7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78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7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7819"/>
    <w:rPr>
      <w:sz w:val="18"/>
      <w:szCs w:val="18"/>
    </w:rPr>
  </w:style>
  <w:style w:type="paragraph" w:styleId="a5">
    <w:name w:val="List Paragraph"/>
    <w:basedOn w:val="a"/>
    <w:uiPriority w:val="34"/>
    <w:qFormat/>
    <w:rsid w:val="00BE719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690</Characters>
  <Application>Microsoft Office Word</Application>
  <DocSecurity>0</DocSecurity>
  <Lines>5</Lines>
  <Paragraphs>1</Paragraphs>
  <ScaleCrop>false</ScaleCrop>
  <Company>Sky123.Org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2018-03-29T06:21:00Z</dcterms:created>
  <dcterms:modified xsi:type="dcterms:W3CDTF">2018-09-05T01:02:00Z</dcterms:modified>
</cp:coreProperties>
</file>