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F4" w:rsidRDefault="005003A4">
      <w:pPr>
        <w:ind w:firstLineChars="300" w:firstLine="964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新华实验小学小学数学校本化实施课堂观察表</w:t>
      </w:r>
    </w:p>
    <w:p w:rsidR="00394BF4" w:rsidRDefault="005003A4">
      <w:pPr>
        <w:ind w:firstLineChars="300" w:firstLine="720"/>
        <w:jc w:val="center"/>
        <w:rPr>
          <w:b/>
          <w:bCs/>
          <w:sz w:val="32"/>
          <w:szCs w:val="40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时间：</w:t>
      </w:r>
      <w:r w:rsidR="00FD6291">
        <w:rPr>
          <w:rFonts w:hint="eastAsia"/>
          <w:sz w:val="24"/>
        </w:rPr>
        <w:t>2017.10.24</w:t>
      </w:r>
    </w:p>
    <w:tbl>
      <w:tblPr>
        <w:tblStyle w:val="a3"/>
        <w:tblW w:w="8849" w:type="dxa"/>
        <w:tblInd w:w="-170" w:type="dxa"/>
        <w:tblLayout w:type="fixed"/>
        <w:tblLook w:val="04A0"/>
      </w:tblPr>
      <w:tblGrid>
        <w:gridCol w:w="1522"/>
        <w:gridCol w:w="75"/>
        <w:gridCol w:w="2235"/>
        <w:gridCol w:w="1095"/>
        <w:gridCol w:w="3922"/>
      </w:tblGrid>
      <w:tr w:rsidR="00394BF4">
        <w:trPr>
          <w:trHeight w:val="731"/>
        </w:trPr>
        <w:tc>
          <w:tcPr>
            <w:tcW w:w="1597" w:type="dxa"/>
            <w:gridSpan w:val="2"/>
            <w:vAlign w:val="center"/>
          </w:tcPr>
          <w:p w:rsidR="00394BF4" w:rsidRDefault="005003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执教内容</w:t>
            </w:r>
          </w:p>
        </w:tc>
        <w:tc>
          <w:tcPr>
            <w:tcW w:w="2235" w:type="dxa"/>
            <w:vAlign w:val="center"/>
          </w:tcPr>
          <w:p w:rsidR="00394BF4" w:rsidRDefault="00FD6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解决问题的策略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假设</w:t>
            </w:r>
          </w:p>
        </w:tc>
        <w:tc>
          <w:tcPr>
            <w:tcW w:w="1095" w:type="dxa"/>
            <w:vAlign w:val="center"/>
          </w:tcPr>
          <w:p w:rsidR="00394BF4" w:rsidRDefault="005003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922" w:type="dxa"/>
            <w:vAlign w:val="center"/>
          </w:tcPr>
          <w:p w:rsidR="00394BF4" w:rsidRDefault="00FD629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</w:t>
            </w: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</w:tr>
      <w:tr w:rsidR="00394BF4">
        <w:trPr>
          <w:trHeight w:val="539"/>
        </w:trPr>
        <w:tc>
          <w:tcPr>
            <w:tcW w:w="1597" w:type="dxa"/>
            <w:gridSpan w:val="2"/>
            <w:vAlign w:val="center"/>
          </w:tcPr>
          <w:p w:rsidR="00394BF4" w:rsidRDefault="005003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执教人</w:t>
            </w:r>
          </w:p>
        </w:tc>
        <w:tc>
          <w:tcPr>
            <w:tcW w:w="2235" w:type="dxa"/>
            <w:vAlign w:val="center"/>
          </w:tcPr>
          <w:p w:rsidR="00394BF4" w:rsidRDefault="00FD6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王建兴</w:t>
            </w:r>
          </w:p>
        </w:tc>
        <w:tc>
          <w:tcPr>
            <w:tcW w:w="1095" w:type="dxa"/>
            <w:vAlign w:val="center"/>
          </w:tcPr>
          <w:p w:rsidR="00394BF4" w:rsidRDefault="005003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观察者</w:t>
            </w:r>
          </w:p>
        </w:tc>
        <w:tc>
          <w:tcPr>
            <w:tcW w:w="3922" w:type="dxa"/>
            <w:vAlign w:val="center"/>
          </w:tcPr>
          <w:p w:rsidR="00394BF4" w:rsidRDefault="00FD629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姚建法</w:t>
            </w:r>
          </w:p>
        </w:tc>
      </w:tr>
      <w:tr w:rsidR="00394BF4">
        <w:trPr>
          <w:trHeight w:val="361"/>
        </w:trPr>
        <w:tc>
          <w:tcPr>
            <w:tcW w:w="3832" w:type="dxa"/>
            <w:gridSpan w:val="3"/>
          </w:tcPr>
          <w:p w:rsidR="00394BF4" w:rsidRDefault="005003A4">
            <w:pPr>
              <w:ind w:firstLineChars="500" w:firstLine="120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观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察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视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角</w:t>
            </w:r>
          </w:p>
        </w:tc>
        <w:tc>
          <w:tcPr>
            <w:tcW w:w="5017" w:type="dxa"/>
            <w:gridSpan w:val="2"/>
          </w:tcPr>
          <w:p w:rsidR="00394BF4" w:rsidRDefault="005003A4">
            <w:pPr>
              <w:ind w:firstLineChars="700" w:firstLine="168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案例与评价</w:t>
            </w:r>
          </w:p>
        </w:tc>
      </w:tr>
      <w:tr w:rsidR="00394BF4">
        <w:trPr>
          <w:trHeight w:val="632"/>
        </w:trPr>
        <w:tc>
          <w:tcPr>
            <w:tcW w:w="1522" w:type="dxa"/>
            <w:vMerge w:val="restart"/>
            <w:vAlign w:val="center"/>
          </w:tcPr>
          <w:p w:rsidR="00394BF4" w:rsidRDefault="00394BF4">
            <w:pPr>
              <w:rPr>
                <w:sz w:val="24"/>
              </w:rPr>
            </w:pPr>
          </w:p>
          <w:p w:rsidR="00394BF4" w:rsidRDefault="00394BF4">
            <w:pPr>
              <w:rPr>
                <w:sz w:val="24"/>
              </w:rPr>
            </w:pPr>
          </w:p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 w:rsidR="00394BF4" w:rsidRDefault="005003A4">
            <w:pPr>
              <w:rPr>
                <w:sz w:val="24"/>
              </w:rPr>
            </w:pPr>
            <w:r w:rsidRPr="008D4A46">
              <w:rPr>
                <w:rFonts w:hint="eastAsia"/>
                <w:b/>
                <w:sz w:val="24"/>
              </w:rPr>
              <w:t>观察视角：</w:t>
            </w:r>
            <w:r w:rsidR="00FC1369">
              <w:rPr>
                <w:rFonts w:hint="eastAsia"/>
                <w:sz w:val="24"/>
              </w:rPr>
              <w:t>科学院资源的应用</w:t>
            </w:r>
          </w:p>
          <w:p w:rsidR="00394BF4" w:rsidRDefault="00C849D1">
            <w:pPr>
              <w:rPr>
                <w:sz w:val="24"/>
              </w:rPr>
            </w:pPr>
            <w:r w:rsidRPr="005666E6">
              <w:rPr>
                <w:rFonts w:hint="eastAsia"/>
                <w:b/>
                <w:sz w:val="24"/>
              </w:rPr>
              <w:t>片断一</w:t>
            </w:r>
            <w:r>
              <w:rPr>
                <w:rFonts w:hint="eastAsia"/>
                <w:sz w:val="24"/>
              </w:rPr>
              <w:t>（导入）</w:t>
            </w:r>
          </w:p>
          <w:p w:rsidR="00394BF4" w:rsidRDefault="00C84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屏呈现天平（左边一个柿子右边三个桔子）</w:t>
            </w:r>
          </w:p>
          <w:p w:rsidR="00394BF4" w:rsidRDefault="00C84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师：这是学校自然科学院结的果实，从数学的角度从图中看到了哪些数学关系？</w:t>
            </w:r>
          </w:p>
          <w:p w:rsidR="00394BF4" w:rsidRDefault="00C849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生：一个柿子的重量是一个桔子的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倍</w:t>
            </w:r>
          </w:p>
          <w:p w:rsidR="00C849D1" w:rsidRDefault="00C849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生：一个柿子的三分之一是一个桔子的重量</w:t>
            </w:r>
          </w:p>
          <w:p w:rsidR="00C849D1" w:rsidRDefault="00C849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生：一个桔子的重量是一份，柿子是三份</w:t>
            </w:r>
          </w:p>
          <w:p w:rsidR="00C849D1" w:rsidRDefault="00C849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生：一个桔子与一个柿子的重量比是</w:t>
            </w:r>
            <w:r>
              <w:rPr>
                <w:rFonts w:hint="eastAsia"/>
                <w:sz w:val="24"/>
              </w:rPr>
              <w:t>1:3</w:t>
            </w:r>
          </w:p>
          <w:p w:rsidR="00C849D1" w:rsidRDefault="00C849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师：倍数关系在很多解雇问题过程中会有出现</w:t>
            </w:r>
          </w:p>
          <w:p w:rsidR="00C849D1" w:rsidRDefault="00C849D1" w:rsidP="00C849D1">
            <w:pPr>
              <w:rPr>
                <w:sz w:val="24"/>
              </w:rPr>
            </w:pPr>
            <w:r w:rsidRPr="005666E6">
              <w:rPr>
                <w:rFonts w:hint="eastAsia"/>
                <w:b/>
                <w:sz w:val="24"/>
              </w:rPr>
              <w:t>片断二</w:t>
            </w:r>
            <w:r>
              <w:rPr>
                <w:rFonts w:hint="eastAsia"/>
                <w:sz w:val="24"/>
              </w:rPr>
              <w:t>（</w:t>
            </w:r>
            <w:r w:rsidR="005666E6">
              <w:rPr>
                <w:rFonts w:hint="eastAsia"/>
                <w:sz w:val="24"/>
              </w:rPr>
              <w:t>书本“</w:t>
            </w:r>
            <w:r>
              <w:rPr>
                <w:rFonts w:hint="eastAsia"/>
                <w:sz w:val="24"/>
              </w:rPr>
              <w:t>试一试</w:t>
            </w:r>
            <w:r w:rsidR="005666E6">
              <w:rPr>
                <w:rFonts w:hint="eastAsia"/>
                <w:sz w:val="24"/>
              </w:rPr>
              <w:t>”改编成的</w:t>
            </w:r>
            <w:r>
              <w:rPr>
                <w:rFonts w:hint="eastAsia"/>
                <w:sz w:val="24"/>
              </w:rPr>
              <w:t>拓展）</w:t>
            </w:r>
          </w:p>
          <w:p w:rsidR="00394BF4" w:rsidRDefault="00C849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屏：</w:t>
            </w:r>
            <w:r w:rsidR="005666E6">
              <w:rPr>
                <w:rFonts w:hint="eastAsia"/>
                <w:sz w:val="24"/>
              </w:rPr>
              <w:t>儿童自然科学院里，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个柿子与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个桔子一共重</w:t>
            </w:r>
            <w:r>
              <w:rPr>
                <w:rFonts w:hint="eastAsia"/>
                <w:sz w:val="24"/>
              </w:rPr>
              <w:t>1200</w:t>
            </w:r>
            <w:r>
              <w:rPr>
                <w:rFonts w:hint="eastAsia"/>
                <w:sz w:val="24"/>
              </w:rPr>
              <w:t>克，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个桔子与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个柿子的重量比是</w:t>
            </w:r>
            <w:r>
              <w:rPr>
                <w:rFonts w:hint="eastAsia"/>
                <w:sz w:val="24"/>
              </w:rPr>
              <w:t>1:3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个柿子与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个桔子分别重多少克？</w:t>
            </w:r>
          </w:p>
          <w:p w:rsidR="00C849D1" w:rsidRDefault="005666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学生尝试解答后实物投影组织交流</w:t>
            </w:r>
          </w:p>
          <w:p w:rsidR="00394BF4" w:rsidRDefault="005666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 w:rsidR="00394BF4" w:rsidRPr="009955C8" w:rsidRDefault="003169C2">
            <w:pPr>
              <w:rPr>
                <w:b/>
                <w:sz w:val="24"/>
              </w:rPr>
            </w:pPr>
            <w:r w:rsidRPr="009955C8">
              <w:rPr>
                <w:rFonts w:hint="eastAsia"/>
                <w:b/>
                <w:sz w:val="24"/>
              </w:rPr>
              <w:t>思考：</w:t>
            </w:r>
          </w:p>
          <w:p w:rsidR="00394BF4" w:rsidRDefault="003169C2" w:rsidP="00A405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、教材无非是个例子。教材的例题</w:t>
            </w:r>
            <w:r w:rsidR="00A4052B">
              <w:rPr>
                <w:rFonts w:hint="eastAsia"/>
                <w:sz w:val="24"/>
              </w:rPr>
              <w:t>与练习都</w:t>
            </w:r>
            <w:r>
              <w:rPr>
                <w:rFonts w:hint="eastAsia"/>
                <w:sz w:val="24"/>
              </w:rPr>
              <w:t>是可以按需更换的，前提是要它所承载的教学内容与方法的本质内涵不发生变化。王老师在教学导入部分充分结合学校儿童自然科学院的果实</w:t>
            </w:r>
            <w:r w:rsidR="00A4052B">
              <w:rPr>
                <w:rFonts w:hint="eastAsia"/>
                <w:sz w:val="24"/>
              </w:rPr>
              <w:t>作为切入，亲切自然，突出数量关系的理解与分析，把握住了本节课的重点与难点进行渗透与强化。在课尾试一试部分又结合校园资源进行了适当改编，并有适当拓展，再次体现了用数学的眼光观察校园、用数学的思维分析现实问题的意识与能力。</w:t>
            </w:r>
          </w:p>
          <w:p w:rsidR="00A4052B" w:rsidRDefault="00A4052B" w:rsidP="00A405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9955C8">
              <w:rPr>
                <w:rFonts w:hint="eastAsia"/>
                <w:sz w:val="24"/>
              </w:rPr>
              <w:t>最后试一试的改编给了学生多一份的思维视角：柿子与桔子可以双向转化统一，并且又因为个数的丰富而增加了审题的重要性。书本试一试是单向的、有一种物品是单个的。在拓展了知识丰富性的同时，方法的指导显得尤为重要，内化的过程需要更加的丰富与延长。这是教学中需要重新加以思考与关注和设计的。</w:t>
            </w:r>
          </w:p>
          <w:p w:rsidR="009955C8" w:rsidRDefault="009955C8" w:rsidP="00A4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、建议把生活语言“重量”改为数学语言“质量”，更加规范、科学。</w:t>
            </w:r>
          </w:p>
        </w:tc>
      </w:tr>
      <w:tr w:rsidR="00394BF4">
        <w:trPr>
          <w:trHeight w:val="707"/>
        </w:trPr>
        <w:tc>
          <w:tcPr>
            <w:tcW w:w="1522" w:type="dxa"/>
            <w:vMerge/>
            <w:vAlign w:val="center"/>
          </w:tcPr>
          <w:p w:rsidR="00394BF4" w:rsidRDefault="00394B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教材校本化实施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783"/>
        </w:trPr>
        <w:tc>
          <w:tcPr>
            <w:tcW w:w="1522" w:type="dxa"/>
            <w:vMerge/>
            <w:vAlign w:val="center"/>
          </w:tcPr>
          <w:p w:rsidR="00394BF4" w:rsidRDefault="00394B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情景创设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783"/>
        </w:trPr>
        <w:tc>
          <w:tcPr>
            <w:tcW w:w="1522" w:type="dxa"/>
            <w:vMerge/>
            <w:vAlign w:val="center"/>
          </w:tcPr>
          <w:p w:rsidR="00394BF4" w:rsidRDefault="00394B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生活与数学的联系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783"/>
        </w:trPr>
        <w:tc>
          <w:tcPr>
            <w:tcW w:w="1522" w:type="dxa"/>
            <w:vMerge/>
            <w:vAlign w:val="center"/>
          </w:tcPr>
          <w:p w:rsidR="00394BF4" w:rsidRDefault="00394B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数学在生活的应用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467"/>
        </w:trPr>
        <w:tc>
          <w:tcPr>
            <w:tcW w:w="1522" w:type="dxa"/>
            <w:vMerge w:val="restart"/>
            <w:vAlign w:val="center"/>
          </w:tcPr>
          <w:p w:rsidR="00394BF4" w:rsidRDefault="00394BF4">
            <w:pPr>
              <w:rPr>
                <w:sz w:val="24"/>
              </w:rPr>
            </w:pPr>
          </w:p>
          <w:p w:rsidR="00394BF4" w:rsidRDefault="00394BF4">
            <w:pPr>
              <w:rPr>
                <w:sz w:val="24"/>
              </w:rPr>
            </w:pPr>
          </w:p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小组合作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437"/>
        </w:trPr>
        <w:tc>
          <w:tcPr>
            <w:tcW w:w="1522" w:type="dxa"/>
            <w:vMerge/>
            <w:vAlign w:val="center"/>
          </w:tcPr>
          <w:p w:rsidR="00394BF4" w:rsidRDefault="00394B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师生交往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607"/>
        </w:trPr>
        <w:tc>
          <w:tcPr>
            <w:tcW w:w="1522" w:type="dxa"/>
            <w:vMerge/>
            <w:vAlign w:val="center"/>
          </w:tcPr>
          <w:p w:rsidR="00394BF4" w:rsidRDefault="00394B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生生交往互动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468"/>
        </w:trPr>
        <w:tc>
          <w:tcPr>
            <w:tcW w:w="1522" w:type="dxa"/>
            <w:vMerge w:val="restart"/>
            <w:vAlign w:val="center"/>
          </w:tcPr>
          <w:p w:rsidR="00394BF4" w:rsidRDefault="00394BF4">
            <w:pPr>
              <w:rPr>
                <w:sz w:val="24"/>
              </w:rPr>
            </w:pPr>
          </w:p>
          <w:p w:rsidR="00394BF4" w:rsidRDefault="00394BF4">
            <w:pPr>
              <w:rPr>
                <w:sz w:val="24"/>
              </w:rPr>
            </w:pPr>
          </w:p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主动参与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573"/>
        </w:trPr>
        <w:tc>
          <w:tcPr>
            <w:tcW w:w="1522" w:type="dxa"/>
            <w:vMerge/>
            <w:vAlign w:val="center"/>
          </w:tcPr>
          <w:p w:rsidR="00394BF4" w:rsidRDefault="00394B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了解数学的价值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603"/>
        </w:trPr>
        <w:tc>
          <w:tcPr>
            <w:tcW w:w="1522" w:type="dxa"/>
            <w:vMerge/>
            <w:vAlign w:val="center"/>
          </w:tcPr>
          <w:p w:rsidR="00394BF4" w:rsidRDefault="00394B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学习信心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623"/>
        </w:trPr>
        <w:tc>
          <w:tcPr>
            <w:tcW w:w="1522" w:type="dxa"/>
            <w:vMerge/>
            <w:vAlign w:val="center"/>
          </w:tcPr>
          <w:p w:rsidR="00394BF4" w:rsidRDefault="00394B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真实情感体验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565"/>
        </w:trPr>
        <w:tc>
          <w:tcPr>
            <w:tcW w:w="1522" w:type="dxa"/>
            <w:vMerge/>
            <w:vAlign w:val="center"/>
          </w:tcPr>
          <w:p w:rsidR="00394BF4" w:rsidRDefault="00394B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应用数学意识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467"/>
        </w:trPr>
        <w:tc>
          <w:tcPr>
            <w:tcW w:w="1522" w:type="dxa"/>
            <w:vMerge w:val="restart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抽象、推理、模型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637"/>
        </w:trPr>
        <w:tc>
          <w:tcPr>
            <w:tcW w:w="1522" w:type="dxa"/>
            <w:vMerge/>
          </w:tcPr>
          <w:p w:rsidR="00394BF4" w:rsidRDefault="00394B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运算能力、空间观念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rPr>
          <w:trHeight w:val="487"/>
        </w:trPr>
        <w:tc>
          <w:tcPr>
            <w:tcW w:w="1522" w:type="dxa"/>
            <w:vMerge/>
          </w:tcPr>
          <w:p w:rsidR="00394BF4" w:rsidRDefault="00394B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数据分析能力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  <w:tr w:rsidR="00394BF4">
        <w:tc>
          <w:tcPr>
            <w:tcW w:w="1522" w:type="dxa"/>
            <w:vMerge/>
          </w:tcPr>
          <w:p w:rsidR="00394BF4" w:rsidRDefault="00394BF4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94BF4" w:rsidRDefault="00500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创新精神、实践能力</w:t>
            </w:r>
          </w:p>
        </w:tc>
        <w:tc>
          <w:tcPr>
            <w:tcW w:w="5017" w:type="dxa"/>
            <w:gridSpan w:val="2"/>
            <w:vMerge/>
          </w:tcPr>
          <w:p w:rsidR="00394BF4" w:rsidRDefault="00394BF4">
            <w:pPr>
              <w:rPr>
                <w:sz w:val="24"/>
              </w:rPr>
            </w:pPr>
          </w:p>
        </w:tc>
      </w:tr>
    </w:tbl>
    <w:p w:rsidR="00394BF4" w:rsidRDefault="00394BF4">
      <w:pPr>
        <w:rPr>
          <w:b/>
          <w:bCs/>
          <w:sz w:val="32"/>
          <w:szCs w:val="40"/>
        </w:rPr>
      </w:pPr>
      <w:bookmarkStart w:id="0" w:name="_GoBack"/>
      <w:bookmarkEnd w:id="0"/>
    </w:p>
    <w:sectPr w:rsidR="00394BF4" w:rsidSect="0039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69133FB"/>
    <w:rsid w:val="003169C2"/>
    <w:rsid w:val="00394BF4"/>
    <w:rsid w:val="005003A4"/>
    <w:rsid w:val="005666E6"/>
    <w:rsid w:val="008D4A46"/>
    <w:rsid w:val="009955C8"/>
    <w:rsid w:val="00A4052B"/>
    <w:rsid w:val="00AB0220"/>
    <w:rsid w:val="00C849D1"/>
    <w:rsid w:val="00FC1369"/>
    <w:rsid w:val="00FD6291"/>
    <w:rsid w:val="0109255E"/>
    <w:rsid w:val="0ACC0AA1"/>
    <w:rsid w:val="0F527358"/>
    <w:rsid w:val="0FC43FD7"/>
    <w:rsid w:val="114B3D37"/>
    <w:rsid w:val="14CF75EC"/>
    <w:rsid w:val="158C2241"/>
    <w:rsid w:val="1A17167F"/>
    <w:rsid w:val="1F180A0E"/>
    <w:rsid w:val="252D367A"/>
    <w:rsid w:val="25D179AF"/>
    <w:rsid w:val="26FC01B6"/>
    <w:rsid w:val="29AA43E9"/>
    <w:rsid w:val="2B452F7D"/>
    <w:rsid w:val="2F562742"/>
    <w:rsid w:val="3F9F6420"/>
    <w:rsid w:val="421B2B3A"/>
    <w:rsid w:val="429E3E8B"/>
    <w:rsid w:val="49040B04"/>
    <w:rsid w:val="515052EC"/>
    <w:rsid w:val="569133FB"/>
    <w:rsid w:val="57712272"/>
    <w:rsid w:val="5D3B5669"/>
    <w:rsid w:val="5D9476FE"/>
    <w:rsid w:val="74C56B16"/>
    <w:rsid w:val="782A4317"/>
    <w:rsid w:val="78AB22B2"/>
    <w:rsid w:val="7A57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B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B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405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cjf</dc:creator>
  <cp:lastModifiedBy>Windows 用户</cp:lastModifiedBy>
  <cp:revision>11</cp:revision>
  <dcterms:created xsi:type="dcterms:W3CDTF">2017-10-30T01:28:00Z</dcterms:created>
  <dcterms:modified xsi:type="dcterms:W3CDTF">2017-10-30T01:45:00Z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