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28"/>
          <w:lang w:eastAsia="zh-CN"/>
        </w:rPr>
      </w:pPr>
      <w:r>
        <w:rPr>
          <w:rFonts w:hint="eastAsia"/>
          <w:b/>
          <w:bCs/>
          <w:sz w:val="32"/>
          <w:szCs w:val="28"/>
          <w:lang w:eastAsia="zh-CN"/>
        </w:rPr>
        <w:t>新华实验小学“</w:t>
      </w:r>
      <w:r>
        <w:rPr>
          <w:rFonts w:hint="eastAsia"/>
          <w:b/>
          <w:bCs/>
          <w:sz w:val="32"/>
          <w:szCs w:val="28"/>
          <w:lang w:val="en-US" w:eastAsia="zh-CN"/>
        </w:rPr>
        <w:t>常州市十佳（优秀）少先队员</w:t>
      </w:r>
      <w:r>
        <w:rPr>
          <w:rFonts w:hint="eastAsia"/>
          <w:b/>
          <w:bCs/>
          <w:sz w:val="32"/>
          <w:szCs w:val="28"/>
          <w:lang w:eastAsia="zh-CN"/>
        </w:rPr>
        <w:t>”评选细则</w:t>
      </w:r>
    </w:p>
    <w:p>
      <w:pPr>
        <w:rPr>
          <w:rFonts w:hint="eastAsia"/>
          <w:lang w:eastAsia="zh-CN"/>
        </w:rPr>
      </w:pPr>
      <w:r>
        <w:rPr>
          <w:rFonts w:hint="eastAsia"/>
          <w:lang w:eastAsia="zh-CN"/>
        </w:rPr>
        <w:t>一：评选对象</w:t>
      </w:r>
    </w:p>
    <w:p>
      <w:pPr>
        <w:numPr>
          <w:ilvl w:val="0"/>
          <w:numId w:val="1"/>
        </w:numPr>
        <w:rPr>
          <w:rFonts w:hint="eastAsia"/>
          <w:lang w:val="en-US" w:eastAsia="zh-CN"/>
        </w:rPr>
      </w:pPr>
      <w:r>
        <w:rPr>
          <w:rFonts w:hint="eastAsia"/>
          <w:lang w:val="en-US" w:eastAsia="zh-CN"/>
        </w:rPr>
        <w:t>品学兼优、全面发展的在校5—6年级学生。</w:t>
      </w:r>
    </w:p>
    <w:p>
      <w:pPr>
        <w:numPr>
          <w:ilvl w:val="0"/>
          <w:numId w:val="1"/>
        </w:numPr>
        <w:rPr>
          <w:rFonts w:hint="eastAsia"/>
          <w:lang w:val="en-US" w:eastAsia="zh-CN"/>
        </w:rPr>
      </w:pPr>
      <w:r>
        <w:rPr>
          <w:rFonts w:hint="eastAsia"/>
          <w:lang w:val="en-US" w:eastAsia="zh-CN"/>
        </w:rPr>
        <w:t>我校就读不满一年的学生本年度不参与评选。</w:t>
      </w:r>
    </w:p>
    <w:p>
      <w:pPr>
        <w:numPr>
          <w:ilvl w:val="0"/>
          <w:numId w:val="2"/>
        </w:numPr>
        <w:rPr>
          <w:rFonts w:hint="eastAsia"/>
          <w:lang w:val="en-US" w:eastAsia="zh-CN"/>
        </w:rPr>
      </w:pPr>
      <w:r>
        <w:rPr>
          <w:rFonts w:hint="eastAsia"/>
          <w:lang w:val="en-US" w:eastAsia="zh-CN"/>
        </w:rPr>
        <w:t>评选条件与细则（同时具备1-4）</w:t>
      </w:r>
    </w:p>
    <w:p>
      <w:pPr>
        <w:numPr>
          <w:ilvl w:val="0"/>
          <w:numId w:val="3"/>
        </w:numPr>
        <w:rPr>
          <w:rFonts w:hint="eastAsia"/>
          <w:color w:val="auto"/>
          <w:lang w:val="en-US" w:eastAsia="zh-CN"/>
        </w:rPr>
      </w:pPr>
      <w:r>
        <w:rPr>
          <w:rFonts w:hint="eastAsia"/>
          <w:lang w:val="en-US" w:eastAsia="zh-CN"/>
        </w:rPr>
        <w:t>行</w:t>
      </w:r>
      <w:r>
        <w:rPr>
          <w:rFonts w:hint="eastAsia"/>
          <w:color w:val="auto"/>
          <w:lang w:val="en-US" w:eastAsia="zh-CN"/>
        </w:rPr>
        <w:t>为习惯好、思想品德好，无违纪违规现象。</w:t>
      </w:r>
    </w:p>
    <w:p>
      <w:pPr>
        <w:numPr>
          <w:ilvl w:val="0"/>
          <w:numId w:val="3"/>
        </w:numPr>
        <w:rPr>
          <w:rFonts w:hint="eastAsia"/>
          <w:color w:val="auto"/>
          <w:lang w:val="en-US" w:eastAsia="zh-CN"/>
        </w:rPr>
      </w:pPr>
      <w:r>
        <w:rPr>
          <w:rFonts w:hint="eastAsia"/>
          <w:color w:val="auto"/>
          <w:lang w:val="en-US" w:eastAsia="zh-CN"/>
        </w:rPr>
        <w:t>在班级“八礼四仪”项目投票通过率90%以上。</w:t>
      </w:r>
    </w:p>
    <w:p>
      <w:pPr>
        <w:numPr>
          <w:ilvl w:val="0"/>
          <w:numId w:val="3"/>
        </w:numPr>
        <w:rPr>
          <w:rFonts w:hint="eastAsia"/>
          <w:color w:val="auto"/>
          <w:lang w:val="en-US" w:eastAsia="zh-CN"/>
        </w:rPr>
      </w:pPr>
      <w:r>
        <w:rPr>
          <w:rFonts w:hint="eastAsia"/>
          <w:color w:val="auto"/>
          <w:lang w:val="en-US" w:eastAsia="zh-CN"/>
        </w:rPr>
        <w:t>两学期期末考试成绩均在年级前10名。</w:t>
      </w:r>
    </w:p>
    <w:p>
      <w:pPr>
        <w:numPr>
          <w:ilvl w:val="0"/>
          <w:numId w:val="3"/>
        </w:numPr>
        <w:rPr>
          <w:rFonts w:hint="eastAsia"/>
          <w:color w:val="auto"/>
          <w:lang w:val="en-US" w:eastAsia="zh-CN"/>
        </w:rPr>
      </w:pPr>
      <w:r>
        <w:rPr>
          <w:rFonts w:hint="eastAsia"/>
          <w:color w:val="auto"/>
          <w:lang w:val="en-US" w:eastAsia="zh-CN"/>
        </w:rPr>
        <w:t>两学期体质健康抽测达到良好及以上。</w:t>
      </w:r>
    </w:p>
    <w:p>
      <w:pPr>
        <w:widowControl w:val="0"/>
        <w:numPr>
          <w:ilvl w:val="0"/>
          <w:numId w:val="4"/>
        </w:numPr>
        <w:jc w:val="both"/>
        <w:rPr>
          <w:rFonts w:hint="eastAsia"/>
          <w:lang w:val="en-US" w:eastAsia="zh-CN"/>
        </w:rPr>
      </w:pPr>
      <w:r>
        <w:rPr>
          <w:rFonts w:hint="eastAsia"/>
          <w:lang w:val="en-US" w:eastAsia="zh-CN"/>
        </w:rPr>
        <w:t>加分条件</w:t>
      </w:r>
    </w:p>
    <w:p>
      <w:pPr>
        <w:widowControl w:val="0"/>
        <w:numPr>
          <w:ilvl w:val="0"/>
          <w:numId w:val="0"/>
        </w:numPr>
        <w:jc w:val="both"/>
        <w:rPr>
          <w:rFonts w:hint="eastAsia"/>
          <w:lang w:val="en-US" w:eastAsia="zh-CN"/>
        </w:rPr>
      </w:pPr>
      <w:r>
        <w:rPr>
          <w:rFonts w:hint="eastAsia"/>
          <w:lang w:val="en-US" w:eastAsia="zh-CN"/>
        </w:rPr>
        <w:t>个人单项奖</w:t>
      </w:r>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3"/>
        <w:gridCol w:w="1224"/>
        <w:gridCol w:w="1224"/>
        <w:gridCol w:w="1218"/>
        <w:gridCol w:w="1205"/>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223" w:type="dxa"/>
            <w:vAlign w:val="top"/>
          </w:tcPr>
          <w:p>
            <w:pPr>
              <w:widowControl w:val="0"/>
              <w:numPr>
                <w:ilvl w:val="0"/>
                <w:numId w:val="0"/>
              </w:numPr>
              <w:jc w:val="both"/>
              <w:rPr>
                <w:rFonts w:hint="eastAsia"/>
                <w:vertAlign w:val="baseline"/>
                <w:lang w:val="en-US" w:eastAsia="zh-CN"/>
              </w:rPr>
            </w:pPr>
          </w:p>
        </w:tc>
        <w:tc>
          <w:tcPr>
            <w:tcW w:w="1223"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vertAlign w:val="baseline"/>
                <w:lang w:val="en-US" w:eastAsia="zh-CN"/>
              </w:rPr>
              <w:t>国家级</w:t>
            </w:r>
          </w:p>
        </w:tc>
        <w:tc>
          <w:tcPr>
            <w:tcW w:w="1224"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lang w:val="en-US" w:eastAsia="zh-CN"/>
              </w:rPr>
              <w:t>省级</w:t>
            </w:r>
          </w:p>
        </w:tc>
        <w:tc>
          <w:tcPr>
            <w:tcW w:w="1224"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vertAlign w:val="baseline"/>
                <w:lang w:val="en-US" w:eastAsia="zh-CN"/>
              </w:rPr>
              <w:t>市级</w:t>
            </w:r>
          </w:p>
        </w:tc>
        <w:tc>
          <w:tcPr>
            <w:tcW w:w="1218"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vertAlign w:val="baseline"/>
                <w:lang w:val="en-US" w:eastAsia="zh-CN"/>
              </w:rPr>
              <w:t>区级</w:t>
            </w:r>
          </w:p>
        </w:tc>
        <w:tc>
          <w:tcPr>
            <w:tcW w:w="1205"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vertAlign w:val="baseline"/>
                <w:lang w:val="en-US" w:eastAsia="zh-CN"/>
              </w:rPr>
              <w:t>校级</w:t>
            </w:r>
          </w:p>
        </w:tc>
        <w:tc>
          <w:tcPr>
            <w:tcW w:w="1202" w:type="dxa"/>
            <w:textDirection w:val="lrTb"/>
            <w:vAlign w:val="top"/>
          </w:tcPr>
          <w:p>
            <w:pPr>
              <w:widowControl w:val="0"/>
              <w:numPr>
                <w:ilvl w:val="0"/>
                <w:numId w:val="0"/>
              </w:numPr>
              <w:ind w:left="0" w:leftChars="0" w:firstLine="0" w:firstLineChars="0"/>
              <w:jc w:val="both"/>
            </w:pPr>
            <w:r>
              <w:rPr>
                <w:rFonts w:hint="eastAsia"/>
                <w:color w:val="auto"/>
                <w:sz w:val="24"/>
                <w:szCs w:val="22"/>
                <w:lang w:val="en-US" w:eastAsia="zh-CN"/>
              </w:rPr>
              <w:t>雷勃电气奖学金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一等奖</w:t>
            </w:r>
          </w:p>
        </w:tc>
        <w:tc>
          <w:tcPr>
            <w:tcW w:w="1223"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12</w:t>
            </w:r>
          </w:p>
        </w:tc>
        <w:tc>
          <w:tcPr>
            <w:tcW w:w="1224"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10</w:t>
            </w:r>
          </w:p>
        </w:tc>
        <w:tc>
          <w:tcPr>
            <w:tcW w:w="1224"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7</w:t>
            </w:r>
          </w:p>
        </w:tc>
        <w:tc>
          <w:tcPr>
            <w:tcW w:w="1218"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5</w:t>
            </w:r>
          </w:p>
        </w:tc>
        <w:tc>
          <w:tcPr>
            <w:tcW w:w="1205"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2</w:t>
            </w:r>
          </w:p>
        </w:tc>
        <w:tc>
          <w:tcPr>
            <w:tcW w:w="1202" w:type="dxa"/>
            <w:textDirection w:val="lrTb"/>
            <w:vAlign w:val="top"/>
          </w:tcPr>
          <w:p>
            <w:pPr>
              <w:widowControl w:val="0"/>
              <w:numPr>
                <w:ilvl w:val="0"/>
                <w:numId w:val="0"/>
              </w:numPr>
              <w:ind w:left="0" w:leftChars="0" w:firstLine="0" w:firstLineChars="0"/>
              <w:jc w:val="both"/>
            </w:pPr>
            <w:r>
              <w:rPr>
                <w:rFonts w:hint="eastAsia"/>
                <w:color w:val="auto"/>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二等奖</w:t>
            </w:r>
          </w:p>
        </w:tc>
        <w:tc>
          <w:tcPr>
            <w:tcW w:w="1223"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8</w:t>
            </w:r>
          </w:p>
        </w:tc>
        <w:tc>
          <w:tcPr>
            <w:tcW w:w="1224"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7</w:t>
            </w:r>
          </w:p>
        </w:tc>
        <w:tc>
          <w:tcPr>
            <w:tcW w:w="1224"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5</w:t>
            </w:r>
          </w:p>
        </w:tc>
        <w:tc>
          <w:tcPr>
            <w:tcW w:w="1218"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3</w:t>
            </w:r>
          </w:p>
        </w:tc>
        <w:tc>
          <w:tcPr>
            <w:tcW w:w="1205"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1</w:t>
            </w:r>
          </w:p>
        </w:tc>
        <w:tc>
          <w:tcPr>
            <w:tcW w:w="1202" w:type="dxa"/>
            <w:textDirection w:val="lrTb"/>
            <w:vAlign w:val="top"/>
          </w:tcPr>
          <w:p>
            <w:pPr>
              <w:widowControl w:val="0"/>
              <w:numPr>
                <w:ilvl w:val="0"/>
                <w:numId w:val="0"/>
              </w:numPr>
              <w:ind w:left="0" w:leftChars="0" w:firstLine="0" w:firstLineChars="0"/>
              <w:jc w:val="both"/>
            </w:pPr>
            <w:r>
              <w:rPr>
                <w:rFonts w:hint="eastAsia"/>
                <w:color w:val="auto"/>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三等奖</w:t>
            </w:r>
          </w:p>
        </w:tc>
        <w:tc>
          <w:tcPr>
            <w:tcW w:w="1223"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6</w:t>
            </w:r>
          </w:p>
        </w:tc>
        <w:tc>
          <w:tcPr>
            <w:tcW w:w="1224"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5</w:t>
            </w:r>
          </w:p>
        </w:tc>
        <w:tc>
          <w:tcPr>
            <w:tcW w:w="1224"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3</w:t>
            </w:r>
          </w:p>
        </w:tc>
        <w:tc>
          <w:tcPr>
            <w:tcW w:w="1218"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2</w:t>
            </w:r>
          </w:p>
        </w:tc>
        <w:tc>
          <w:tcPr>
            <w:tcW w:w="1205"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0.5</w:t>
            </w:r>
          </w:p>
        </w:tc>
        <w:tc>
          <w:tcPr>
            <w:tcW w:w="1202" w:type="dxa"/>
            <w:textDirection w:val="lrTb"/>
            <w:vAlign w:val="top"/>
          </w:tcPr>
          <w:p>
            <w:pPr>
              <w:widowControl w:val="0"/>
              <w:numPr>
                <w:ilvl w:val="0"/>
                <w:numId w:val="0"/>
              </w:numPr>
              <w:ind w:left="0" w:leftChars="0" w:firstLine="0" w:firstLineChars="0"/>
              <w:jc w:val="both"/>
            </w:pPr>
            <w:r>
              <w:rPr>
                <w:rFonts w:hint="eastAsia"/>
                <w:color w:val="auto"/>
                <w:vertAlign w:val="baseline"/>
                <w:lang w:val="en-US" w:eastAsia="zh-CN"/>
              </w:rPr>
              <w:t>1</w:t>
            </w:r>
          </w:p>
        </w:tc>
      </w:tr>
    </w:tbl>
    <w:p>
      <w:pPr>
        <w:widowControl w:val="0"/>
        <w:numPr>
          <w:ilvl w:val="0"/>
          <w:numId w:val="0"/>
        </w:numPr>
        <w:jc w:val="both"/>
        <w:rPr>
          <w:rFonts w:hint="eastAsia"/>
          <w:lang w:val="en-US" w:eastAsia="zh-CN"/>
        </w:rPr>
      </w:pPr>
      <w:r>
        <w:rPr>
          <w:rFonts w:hint="eastAsia"/>
          <w:lang w:val="en-US" w:eastAsia="zh-CN"/>
        </w:rPr>
        <w:t>团体奖</w:t>
      </w:r>
    </w:p>
    <w:tbl>
      <w:tblPr>
        <w:tblStyle w:val="4"/>
        <w:tblW w:w="7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3"/>
        <w:gridCol w:w="1224"/>
        <w:gridCol w:w="1224"/>
        <w:gridCol w:w="1218"/>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223" w:type="dxa"/>
            <w:vAlign w:val="top"/>
          </w:tcPr>
          <w:p>
            <w:pPr>
              <w:widowControl w:val="0"/>
              <w:numPr>
                <w:ilvl w:val="0"/>
                <w:numId w:val="0"/>
              </w:numPr>
              <w:jc w:val="both"/>
              <w:rPr>
                <w:rFonts w:hint="eastAsia"/>
                <w:vertAlign w:val="baseline"/>
                <w:lang w:val="en-US" w:eastAsia="zh-CN"/>
              </w:rPr>
            </w:pPr>
          </w:p>
        </w:tc>
        <w:tc>
          <w:tcPr>
            <w:tcW w:w="1223"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vertAlign w:val="baseline"/>
                <w:lang w:val="en-US" w:eastAsia="zh-CN"/>
              </w:rPr>
              <w:t>国家级</w:t>
            </w:r>
          </w:p>
        </w:tc>
        <w:tc>
          <w:tcPr>
            <w:tcW w:w="1224"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lang w:val="en-US" w:eastAsia="zh-CN"/>
              </w:rPr>
              <w:t>省级</w:t>
            </w:r>
          </w:p>
        </w:tc>
        <w:tc>
          <w:tcPr>
            <w:tcW w:w="1224"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vertAlign w:val="baseline"/>
                <w:lang w:val="en-US" w:eastAsia="zh-CN"/>
              </w:rPr>
              <w:t>市级</w:t>
            </w:r>
          </w:p>
        </w:tc>
        <w:tc>
          <w:tcPr>
            <w:tcW w:w="1218"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vertAlign w:val="baseline"/>
                <w:lang w:val="en-US" w:eastAsia="zh-CN"/>
              </w:rPr>
              <w:t>区级</w:t>
            </w:r>
          </w:p>
        </w:tc>
        <w:tc>
          <w:tcPr>
            <w:tcW w:w="1205"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vertAlign w:val="baseline"/>
                <w:lang w:val="en-US" w:eastAsia="zh-CN"/>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一等奖</w:t>
            </w:r>
          </w:p>
        </w:tc>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8</w:t>
            </w:r>
          </w:p>
        </w:tc>
        <w:tc>
          <w:tcPr>
            <w:tcW w:w="1224"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5</w:t>
            </w:r>
          </w:p>
        </w:tc>
        <w:tc>
          <w:tcPr>
            <w:tcW w:w="1224"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3</w:t>
            </w:r>
          </w:p>
        </w:tc>
        <w:tc>
          <w:tcPr>
            <w:tcW w:w="1218"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2</w:t>
            </w:r>
          </w:p>
        </w:tc>
        <w:tc>
          <w:tcPr>
            <w:tcW w:w="1205"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二等奖</w:t>
            </w:r>
          </w:p>
        </w:tc>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5</w:t>
            </w:r>
          </w:p>
        </w:tc>
        <w:tc>
          <w:tcPr>
            <w:tcW w:w="1224"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3</w:t>
            </w:r>
          </w:p>
        </w:tc>
        <w:tc>
          <w:tcPr>
            <w:tcW w:w="1224"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2</w:t>
            </w:r>
          </w:p>
        </w:tc>
        <w:tc>
          <w:tcPr>
            <w:tcW w:w="1218"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1</w:t>
            </w:r>
          </w:p>
        </w:tc>
        <w:tc>
          <w:tcPr>
            <w:tcW w:w="1205"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三等奖</w:t>
            </w:r>
          </w:p>
        </w:tc>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3</w:t>
            </w:r>
          </w:p>
        </w:tc>
        <w:tc>
          <w:tcPr>
            <w:tcW w:w="1224"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2</w:t>
            </w:r>
          </w:p>
        </w:tc>
        <w:tc>
          <w:tcPr>
            <w:tcW w:w="1224"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1</w:t>
            </w:r>
          </w:p>
        </w:tc>
        <w:tc>
          <w:tcPr>
            <w:tcW w:w="1218"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0.5</w:t>
            </w:r>
          </w:p>
        </w:tc>
        <w:tc>
          <w:tcPr>
            <w:tcW w:w="1205" w:type="dxa"/>
            <w:vAlign w:val="top"/>
          </w:tcPr>
          <w:p>
            <w:pPr>
              <w:widowControl w:val="0"/>
              <w:numPr>
                <w:ilvl w:val="0"/>
                <w:numId w:val="0"/>
              </w:numPr>
              <w:jc w:val="both"/>
              <w:rPr>
                <w:rFonts w:hint="eastAsia"/>
                <w:vertAlign w:val="baseline"/>
                <w:lang w:val="en-US" w:eastAsia="zh-CN"/>
              </w:rPr>
            </w:pPr>
          </w:p>
        </w:tc>
      </w:tr>
    </w:tbl>
    <w:p>
      <w:pPr>
        <w:numPr>
          <w:ilvl w:val="0"/>
          <w:numId w:val="0"/>
        </w:numPr>
        <w:spacing w:line="500" w:lineRule="exact"/>
        <w:rPr>
          <w:rFonts w:hint="eastAsia"/>
          <w:sz w:val="24"/>
          <w:szCs w:val="22"/>
          <w:lang w:val="en-US" w:eastAsia="zh-CN"/>
        </w:rPr>
      </w:pPr>
      <w:r>
        <w:rPr>
          <w:rFonts w:hint="eastAsia"/>
          <w:sz w:val="24"/>
          <w:szCs w:val="22"/>
          <w:lang w:val="en-US" w:eastAsia="zh-CN"/>
        </w:rPr>
        <w:t>说明：</w:t>
      </w:r>
    </w:p>
    <w:p>
      <w:pPr>
        <w:widowControl w:val="0"/>
        <w:numPr>
          <w:ilvl w:val="0"/>
          <w:numId w:val="0"/>
        </w:numPr>
        <w:jc w:val="both"/>
        <w:rPr>
          <w:rFonts w:hint="eastAsia"/>
          <w:color w:val="auto"/>
          <w:sz w:val="24"/>
          <w:szCs w:val="22"/>
          <w:lang w:val="en-US" w:eastAsia="zh-CN"/>
        </w:rPr>
      </w:pPr>
      <w:r>
        <w:rPr>
          <w:rFonts w:hint="eastAsia"/>
          <w:sz w:val="24"/>
          <w:szCs w:val="22"/>
          <w:lang w:val="en-US" w:eastAsia="zh-CN"/>
        </w:rPr>
        <w:t>1.</w:t>
      </w:r>
      <w:r>
        <w:rPr>
          <w:rFonts w:hint="eastAsia"/>
          <w:color w:val="auto"/>
          <w:sz w:val="24"/>
          <w:szCs w:val="22"/>
          <w:lang w:val="en-US" w:eastAsia="zh-CN"/>
        </w:rPr>
        <w:t>所有获奖原件需由上级教育主管部门盖章或由区教育部门统一组织参加的比赛。由学校统一组织，无教育部门盖章的区级以上获奖，不论级别，按1分计算，且同一性质比赛只取最高分，不重复计算。</w:t>
      </w:r>
    </w:p>
    <w:p>
      <w:pPr>
        <w:widowControl w:val="0"/>
        <w:numPr>
          <w:ilvl w:val="0"/>
          <w:numId w:val="0"/>
        </w:numPr>
        <w:jc w:val="both"/>
        <w:rPr>
          <w:rFonts w:hint="eastAsia"/>
          <w:color w:val="auto"/>
          <w:sz w:val="24"/>
          <w:szCs w:val="22"/>
          <w:lang w:val="en-US" w:eastAsia="zh-CN"/>
        </w:rPr>
      </w:pPr>
      <w:r>
        <w:rPr>
          <w:rFonts w:hint="eastAsia"/>
          <w:color w:val="auto"/>
          <w:sz w:val="24"/>
          <w:szCs w:val="22"/>
          <w:lang w:val="en-US" w:eastAsia="zh-CN"/>
        </w:rPr>
        <w:t>2.被评选为少先队大队委员、广播站主持人加2分。红领巾值日岗队员加2分。</w:t>
      </w:r>
    </w:p>
    <w:p>
      <w:pPr>
        <w:widowControl w:val="0"/>
        <w:numPr>
          <w:ilvl w:val="0"/>
          <w:numId w:val="0"/>
        </w:numPr>
        <w:jc w:val="both"/>
        <w:rPr>
          <w:rFonts w:hint="eastAsia"/>
          <w:color w:val="auto"/>
          <w:sz w:val="24"/>
          <w:szCs w:val="22"/>
          <w:lang w:val="en-US" w:eastAsia="zh-CN"/>
        </w:rPr>
      </w:pPr>
      <w:r>
        <w:rPr>
          <w:rFonts w:hint="eastAsia"/>
          <w:color w:val="auto"/>
          <w:sz w:val="24"/>
          <w:szCs w:val="22"/>
          <w:lang w:val="en-US" w:eastAsia="zh-CN"/>
        </w:rPr>
        <w:t>3.2015年9月起获校“新福娃”、“文明礼仪之星”等学校组织的评比活动得1分，三好学生得2分，五好学生得3分。</w:t>
      </w:r>
    </w:p>
    <w:p>
      <w:pPr>
        <w:widowControl w:val="0"/>
        <w:numPr>
          <w:ilvl w:val="0"/>
          <w:numId w:val="0"/>
        </w:numPr>
        <w:jc w:val="both"/>
        <w:rPr>
          <w:rFonts w:hint="eastAsia"/>
          <w:color w:val="auto"/>
          <w:sz w:val="24"/>
          <w:szCs w:val="22"/>
          <w:lang w:val="en-US" w:eastAsia="zh-CN"/>
        </w:rPr>
      </w:pPr>
      <w:r>
        <w:rPr>
          <w:rFonts w:hint="eastAsia"/>
          <w:color w:val="auto"/>
          <w:sz w:val="24"/>
          <w:szCs w:val="22"/>
          <w:lang w:val="en-US" w:eastAsia="zh-CN"/>
        </w:rPr>
        <w:t>4.同一主办部门组织活动或同一比赛项目在不同级别中，按一次最高分计算。（同类项目不再细分具体项目，只取最高分值证书一张。）</w:t>
      </w:r>
    </w:p>
    <w:p>
      <w:pPr>
        <w:widowControl w:val="0"/>
        <w:numPr>
          <w:ilvl w:val="0"/>
          <w:numId w:val="0"/>
        </w:numPr>
        <w:jc w:val="both"/>
        <w:rPr>
          <w:rFonts w:hint="eastAsia"/>
          <w:color w:val="auto"/>
          <w:sz w:val="24"/>
          <w:szCs w:val="22"/>
          <w:lang w:val="en-US" w:eastAsia="zh-CN"/>
        </w:rPr>
      </w:pPr>
      <w:r>
        <w:rPr>
          <w:rFonts w:hint="eastAsia"/>
          <w:color w:val="auto"/>
          <w:sz w:val="24"/>
          <w:szCs w:val="22"/>
          <w:lang w:val="en-US" w:eastAsia="zh-CN"/>
        </w:rPr>
        <w:t>5.在区级体育竞赛中，参加区级比赛运动员，比赛中为学校获得分值按一半计算。</w:t>
      </w:r>
    </w:p>
    <w:p>
      <w:pPr>
        <w:widowControl w:val="0"/>
        <w:numPr>
          <w:ilvl w:val="0"/>
          <w:numId w:val="0"/>
        </w:numPr>
        <w:jc w:val="both"/>
        <w:rPr>
          <w:rFonts w:hint="eastAsia"/>
          <w:color w:val="auto"/>
          <w:sz w:val="24"/>
          <w:szCs w:val="22"/>
          <w:lang w:val="en-US" w:eastAsia="zh-CN"/>
        </w:rPr>
      </w:pPr>
      <w:r>
        <w:rPr>
          <w:rFonts w:hint="eastAsia"/>
          <w:color w:val="auto"/>
          <w:sz w:val="24"/>
          <w:szCs w:val="22"/>
          <w:lang w:val="en-US" w:eastAsia="zh-CN"/>
        </w:rPr>
        <w:t>6.小记者在市级刊物上发表文章按1分/篇计算。</w:t>
      </w:r>
    </w:p>
    <w:p>
      <w:pPr>
        <w:widowControl w:val="0"/>
        <w:numPr>
          <w:ilvl w:val="0"/>
          <w:numId w:val="0"/>
        </w:numPr>
        <w:jc w:val="both"/>
        <w:rPr>
          <w:rFonts w:hint="eastAsia"/>
          <w:color w:val="auto"/>
          <w:sz w:val="24"/>
          <w:szCs w:val="22"/>
          <w:lang w:val="en-US" w:eastAsia="zh-CN"/>
        </w:rPr>
      </w:pPr>
      <w:r>
        <w:rPr>
          <w:rFonts w:hint="eastAsia"/>
          <w:color w:val="auto"/>
          <w:sz w:val="24"/>
          <w:szCs w:val="22"/>
          <w:lang w:val="en-US" w:eastAsia="zh-CN"/>
        </w:rPr>
        <w:t>6.各项成绩、取得荣誉时间为前一年5月至当年4月。</w:t>
      </w:r>
    </w:p>
    <w:p>
      <w:pPr>
        <w:widowControl w:val="0"/>
        <w:numPr>
          <w:ilvl w:val="0"/>
          <w:numId w:val="0"/>
        </w:numPr>
        <w:jc w:val="both"/>
        <w:rPr>
          <w:rFonts w:hint="eastAsia"/>
          <w:color w:val="auto"/>
          <w:sz w:val="24"/>
          <w:szCs w:val="22"/>
          <w:lang w:val="en-US" w:eastAsia="zh-CN"/>
        </w:rPr>
      </w:pPr>
      <w:r>
        <w:rPr>
          <w:rFonts w:hint="eastAsia"/>
          <w:color w:val="auto"/>
          <w:sz w:val="24"/>
          <w:szCs w:val="22"/>
          <w:lang w:val="en-US" w:eastAsia="zh-CN"/>
        </w:rPr>
        <w:t>7.已经当选过“好少年”的同学不再参与同级评选。</w:t>
      </w:r>
    </w:p>
    <w:p>
      <w:pPr>
        <w:widowControl w:val="0"/>
        <w:numPr>
          <w:ilvl w:val="0"/>
          <w:numId w:val="0"/>
        </w:numPr>
        <w:jc w:val="both"/>
        <w:rPr>
          <w:rFonts w:hint="eastAsia"/>
          <w:color w:val="auto"/>
          <w:sz w:val="24"/>
          <w:szCs w:val="22"/>
          <w:lang w:val="en-US" w:eastAsia="zh-CN"/>
        </w:rPr>
      </w:pPr>
      <w:r>
        <w:rPr>
          <w:rFonts w:hint="eastAsia"/>
          <w:color w:val="auto"/>
          <w:sz w:val="24"/>
          <w:szCs w:val="22"/>
          <w:lang w:val="en-US" w:eastAsia="zh-CN"/>
        </w:rPr>
        <w:t>8.取得省四好少年的学生不再参与“市优秀少先队员”、“雷勃电气奖学金”评选。</w:t>
      </w:r>
    </w:p>
    <w:p>
      <w:pPr>
        <w:widowControl w:val="0"/>
        <w:numPr>
          <w:ilvl w:val="0"/>
          <w:numId w:val="4"/>
        </w:numPr>
        <w:jc w:val="both"/>
        <w:rPr>
          <w:rFonts w:hint="eastAsia"/>
          <w:sz w:val="24"/>
          <w:szCs w:val="22"/>
          <w:lang w:val="en-US" w:eastAsia="zh-CN"/>
        </w:rPr>
      </w:pPr>
      <w:r>
        <w:rPr>
          <w:rFonts w:hint="eastAsia"/>
          <w:sz w:val="24"/>
          <w:szCs w:val="22"/>
          <w:lang w:val="en-US" w:eastAsia="zh-CN"/>
        </w:rPr>
        <w:t>评选程序</w:t>
      </w:r>
    </w:p>
    <w:p>
      <w:pPr>
        <w:widowControl w:val="0"/>
        <w:numPr>
          <w:ilvl w:val="0"/>
          <w:numId w:val="0"/>
        </w:numPr>
        <w:jc w:val="both"/>
        <w:rPr>
          <w:rFonts w:hint="eastAsia"/>
          <w:sz w:val="24"/>
          <w:szCs w:val="22"/>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842010</wp:posOffset>
                </wp:positionH>
                <wp:positionV relativeFrom="paragraph">
                  <wp:posOffset>264160</wp:posOffset>
                </wp:positionV>
                <wp:extent cx="390525" cy="75565"/>
                <wp:effectExtent l="8255" t="11430" r="39370" b="27305"/>
                <wp:wrapNone/>
                <wp:docPr id="4" name="右箭头 1"/>
                <wp:cNvGraphicFramePr/>
                <a:graphic xmlns:a="http://schemas.openxmlformats.org/drawingml/2006/main">
                  <a:graphicData uri="http://schemas.microsoft.com/office/word/2010/wordprocessingShape">
                    <wps:wsp>
                      <wps:cNvSpPr/>
                      <wps:spPr>
                        <a:xfrm flipV="1">
                          <a:off x="0" y="0"/>
                          <a:ext cx="390525" cy="75565"/>
                        </a:xfrm>
                        <a:prstGeom prst="rightArrow">
                          <a:avLst>
                            <a:gd name="adj1" fmla="val 50000"/>
                            <a:gd name="adj2" fmla="val 129201"/>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右箭头 1" o:spid="_x0000_s1026" o:spt="13" type="#_x0000_t13" style="position:absolute;left:0pt;flip:y;margin-left:66.3pt;margin-top:20.8pt;height:5.95pt;width:30.75pt;z-index:251661312;mso-width-relative:page;mso-height-relative:page;" fillcolor="#BBD5F0" filled="t" stroked="t" coordsize="21600,21600" o:gfxdata="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MOo9O&#10;2AAAAAkBAAAPAAAAAAAAAAEAIAAAACIAAABkcnMvZG93bnJldi54bWxQSwECFAAUAAAACACHTuJA&#10;+VU8cFoCAADBBAAADgAAAAAAAAABACAAAAAnAQAAZHJzL2Uyb0RvYy54bWxQSwUGAAAAAAYABgBZ&#10;AQAA8wUAAAAA&#10;" adj="16201,5400">
                <v:fill type="gradient" on="t" color2="#9CBEE0" focus="100%" focussize="0,0">
                  <o:fill type="gradientUnscaled" v:ext="backwardCompatible"/>
                </v:fill>
                <v:stroke weight="1.25pt" color="#739CC3" joinstyle="miter"/>
                <v:imagedata o:title=""/>
                <o:lock v:ext="edit" aspectratio="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4461510</wp:posOffset>
                </wp:positionH>
                <wp:positionV relativeFrom="paragraph">
                  <wp:posOffset>53975</wp:posOffset>
                </wp:positionV>
                <wp:extent cx="390525" cy="75565"/>
                <wp:effectExtent l="8255" t="11430" r="39370" b="27305"/>
                <wp:wrapNone/>
                <wp:docPr id="3" name="右箭头 1"/>
                <wp:cNvGraphicFramePr/>
                <a:graphic xmlns:a="http://schemas.openxmlformats.org/drawingml/2006/main">
                  <a:graphicData uri="http://schemas.microsoft.com/office/word/2010/wordprocessingShape">
                    <wps:wsp>
                      <wps:cNvSpPr/>
                      <wps:spPr>
                        <a:xfrm flipV="1">
                          <a:off x="0" y="0"/>
                          <a:ext cx="390525" cy="75565"/>
                        </a:xfrm>
                        <a:prstGeom prst="rightArrow">
                          <a:avLst>
                            <a:gd name="adj1" fmla="val 50000"/>
                            <a:gd name="adj2" fmla="val 129201"/>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右箭头 1" o:spid="_x0000_s1026" o:spt="13" type="#_x0000_t13" style="position:absolute;left:0pt;flip:y;margin-left:351.3pt;margin-top:4.25pt;height:5.95pt;width:30.75pt;z-index:251660288;mso-width-relative:page;mso-height-relative:page;" fillcolor="#BBD5F0" filled="t" stroked="t" coordsize="21600,21600" o:gfxdata="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Mlos3Y&#10;AAAACAEAAA8AAAAAAAAAAQAgAAAAIgAAAGRycy9kb3ducmV2LnhtbFBLAQIUABQAAAAIAIdO4kAD&#10;5HHBWQIAAMEEAAAOAAAAAAAAAAEAIAAAACcBAABkcnMvZTJvRG9jLnhtbFBLBQYAAAAABgAGAFkB&#10;AADyBQAAAAA=&#10;" adj="16201,5400">
                <v:fill type="gradient" on="t" color2="#9CBEE0" focus="100%" focussize="0,0">
                  <o:fill type="gradientUnscaled" v:ext="backwardCompatible"/>
                </v:fill>
                <v:stroke weight="1.25pt" color="#739CC3" joinstyle="miter"/>
                <v:imagedata o:title=""/>
                <o:lock v:ext="edit" aspectratio="f"/>
              </v:shape>
            </w:pict>
          </mc:Fallback>
        </mc:AlternateContent>
      </w:r>
      <w:r>
        <w:rPr>
          <w:sz w:val="24"/>
        </w:rPr>
        <mc:AlternateContent>
          <mc:Choice Requires="wps">
            <w:drawing>
              <wp:anchor distT="0" distB="0" distL="114300" distR="114300" simplePos="0" relativeHeight="251658240" behindDoc="0" locked="0" layoutInCell="1" allowOverlap="1">
                <wp:simplePos x="0" y="0"/>
                <wp:positionH relativeFrom="column">
                  <wp:posOffset>1413510</wp:posOffset>
                </wp:positionH>
                <wp:positionV relativeFrom="paragraph">
                  <wp:posOffset>63500</wp:posOffset>
                </wp:positionV>
                <wp:extent cx="390525" cy="75565"/>
                <wp:effectExtent l="8255" t="11430" r="39370" b="27305"/>
                <wp:wrapNone/>
                <wp:docPr id="1" name="右箭头 1"/>
                <wp:cNvGraphicFramePr/>
                <a:graphic xmlns:a="http://schemas.openxmlformats.org/drawingml/2006/main">
                  <a:graphicData uri="http://schemas.microsoft.com/office/word/2010/wordprocessingShape">
                    <wps:wsp>
                      <wps:cNvSpPr/>
                      <wps:spPr>
                        <a:xfrm flipV="1">
                          <a:off x="0" y="0"/>
                          <a:ext cx="390525" cy="75565"/>
                        </a:xfrm>
                        <a:prstGeom prst="rightArrow">
                          <a:avLst>
                            <a:gd name="adj1" fmla="val 50000"/>
                            <a:gd name="adj2" fmla="val 129201"/>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flip:y;margin-left:111.3pt;margin-top:5pt;height:5.95pt;width:30.75pt;z-index:251658240;mso-width-relative:page;mso-height-relative:page;" fillcolor="#BBD5F0" filled="t" stroked="t" coordsize="21600,21600" o:gfxdata="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1QINx1wAA&#10;AAkBAAAPAAAAAAAAAAEAIAAAACIAAABkcnMvZG93bnJldi54bWxQSwECFAAUAAAACACHTuJAySvU&#10;MFgCAADBBAAADgAAAAAAAAABACAAAAAmAQAAZHJzL2Uyb0RvYy54bWxQSwUGAAAAAAYABgBZAQAA&#10;8AUAAAAA&#10;" adj="16201,5400">
                <v:fill type="gradient" on="t" color2="#9CBEE0" focus="100%" focussize="0,0">
                  <o:fill type="gradientUnscaled" v:ext="backwardCompatible"/>
                </v:fill>
                <v:stroke weight="1.25pt" color="#739CC3" joinstyle="miter"/>
                <v:imagedata o:title=""/>
                <o:lock v:ext="edit" aspectratio="f"/>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2461260</wp:posOffset>
                </wp:positionH>
                <wp:positionV relativeFrom="paragraph">
                  <wp:posOffset>73025</wp:posOffset>
                </wp:positionV>
                <wp:extent cx="390525" cy="75565"/>
                <wp:effectExtent l="8255" t="11430" r="39370" b="27305"/>
                <wp:wrapNone/>
                <wp:docPr id="2" name="右箭头 1"/>
                <wp:cNvGraphicFramePr/>
                <a:graphic xmlns:a="http://schemas.openxmlformats.org/drawingml/2006/main">
                  <a:graphicData uri="http://schemas.microsoft.com/office/word/2010/wordprocessingShape">
                    <wps:wsp>
                      <wps:cNvSpPr/>
                      <wps:spPr>
                        <a:xfrm flipV="1">
                          <a:off x="0" y="0"/>
                          <a:ext cx="390525" cy="75565"/>
                        </a:xfrm>
                        <a:prstGeom prst="rightArrow">
                          <a:avLst>
                            <a:gd name="adj1" fmla="val 50000"/>
                            <a:gd name="adj2" fmla="val 129201"/>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右箭头 1" o:spid="_x0000_s1026" o:spt="13" type="#_x0000_t13" style="position:absolute;left:0pt;flip:y;margin-left:193.8pt;margin-top:5.75pt;height:5.95pt;width:30.75pt;z-index:251659264;mso-width-relative:page;mso-height-relative:page;" fillcolor="#BBD5F0" filled="t" stroked="t" coordsize="21600,21600" o:gfxdata="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9e&#10;kkXZAAAACQEAAA8AAAAAAAAAAQAgAAAAIgAAAGRycy9kb3ducmV2LnhtbFBLAQIUABQAAAAIAIdO&#10;4kDmA6O5WwIAAMEEAAAOAAAAAAAAAAEAIAAAACgBAABkcnMvZTJvRG9jLnhtbFBLBQYAAAAABgAG&#10;AFkBAAD1BQAAAAA=&#10;" adj="16201,5400">
                <v:fill type="gradient" on="t" color2="#9CBEE0" focus="100%" focussize="0,0">
                  <o:fill type="gradientUnscaled" v:ext="backwardCompatible"/>
                </v:fill>
                <v:stroke weight="1.25pt" color="#739CC3" joinstyle="miter"/>
                <v:imagedata o:title=""/>
                <o:lock v:ext="edit" aspectratio="f"/>
              </v:shape>
            </w:pict>
          </mc:Fallback>
        </mc:AlternateContent>
      </w:r>
      <w:r>
        <w:rPr>
          <w:rFonts w:hint="eastAsia"/>
          <w:sz w:val="24"/>
          <w:szCs w:val="22"/>
          <w:lang w:val="en-US" w:eastAsia="zh-CN"/>
        </w:rPr>
        <w:t>班主任宣布评审条件      自我申报      评审组材料审核、打分       确定名单、公示       上报区少工委</w:t>
      </w:r>
    </w:p>
    <w:p>
      <w:pPr>
        <w:widowControl w:val="0"/>
        <w:numPr>
          <w:ilvl w:val="0"/>
          <w:numId w:val="0"/>
        </w:numPr>
        <w:jc w:val="both"/>
        <w:rPr>
          <w:rFonts w:hint="eastAsia"/>
          <w:b/>
          <w:bCs/>
          <w:sz w:val="28"/>
          <w:szCs w:val="24"/>
          <w:lang w:eastAsia="zh-CN"/>
        </w:rPr>
      </w:pPr>
      <w:r>
        <w:rPr>
          <w:rFonts w:hint="eastAsia"/>
          <w:b/>
          <w:bCs/>
          <w:sz w:val="32"/>
          <w:szCs w:val="28"/>
          <w:lang w:val="en-US" w:eastAsia="zh-CN"/>
        </w:rPr>
        <w:t xml:space="preserve">                       </w:t>
      </w:r>
      <w:r>
        <w:rPr>
          <w:rFonts w:hint="eastAsia"/>
          <w:b/>
          <w:bCs/>
          <w:sz w:val="28"/>
          <w:szCs w:val="24"/>
          <w:lang w:eastAsia="zh-CN"/>
        </w:rPr>
        <w:t>新北区新华实验小学少先队大队部</w:t>
      </w:r>
    </w:p>
    <w:p>
      <w:pPr>
        <w:widowControl w:val="0"/>
        <w:numPr>
          <w:ilvl w:val="0"/>
          <w:numId w:val="0"/>
        </w:numPr>
        <w:jc w:val="both"/>
      </w:pPr>
      <w:r>
        <w:rPr>
          <w:rFonts w:hint="eastAsia"/>
          <w:b/>
          <w:bCs/>
          <w:sz w:val="28"/>
          <w:szCs w:val="24"/>
          <w:lang w:val="en-US" w:eastAsia="zh-CN"/>
        </w:rPr>
        <w:t xml:space="preserve">                                         2016年11月10日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创艺简仿宋">
    <w:altName w:val="方正兰亭超细黑简体"/>
    <w:panose1 w:val="00000000000000000000"/>
    <w:charset w:val="86"/>
    <w:family w:val="auto"/>
    <w:pitch w:val="default"/>
    <w:sig w:usb0="00000000" w:usb1="00000000" w:usb2="0000001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Bookman Old Style">
    <w:altName w:val="Segoe Print"/>
    <w:panose1 w:val="02050604050505020204"/>
    <w:charset w:val="00"/>
    <w:family w:val="auto"/>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Lucida Bright">
    <w:altName w:val="Segoe Print"/>
    <w:panose1 w:val="02040602050505020304"/>
    <w:charset w:val="00"/>
    <w:family w:val="auto"/>
    <w:pitch w:val="default"/>
    <w:sig w:usb0="00000000" w:usb1="00000000" w:usb2="00000000" w:usb3="00000000" w:csb0="20000001" w:csb1="00000000"/>
  </w:font>
  <w:font w:name="书体坊赵九江钢笔行书">
    <w:altName w:val="宋体"/>
    <w:panose1 w:val="03000509000000000000"/>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TechnicBold">
    <w:altName w:val="Segoe Print"/>
    <w:panose1 w:val="00000400000000000000"/>
    <w:charset w:val="00"/>
    <w:family w:val="auto"/>
    <w:pitch w:val="default"/>
    <w:sig w:usb0="00000000" w:usb1="00000000" w:usb2="00000000" w:usb3="00000000" w:csb0="00000000" w:csb1="00000000"/>
  </w:font>
  <w:font w:name="TechnicLite">
    <w:altName w:val="Segoe Print"/>
    <w:panose1 w:val="00000400000000000000"/>
    <w:charset w:val="00"/>
    <w:family w:val="auto"/>
    <w:pitch w:val="default"/>
    <w:sig w:usb0="00000000" w:usb1="00000000" w:usb2="00000000" w:usb3="00000000" w:csb0="00000000" w:csb1="00000000"/>
  </w:font>
  <w:font w:name="Tempus Sans ITC">
    <w:altName w:val="Gabriola"/>
    <w:panose1 w:val="04020404030D07020202"/>
    <w:charset w:val="00"/>
    <w:family w:val="auto"/>
    <w:pitch w:val="default"/>
    <w:sig w:usb0="00000000" w:usb1="00000000" w:usb2="00000000" w:usb3="00000000" w:csb0="20000001" w:csb1="00000000"/>
  </w:font>
  <w:font w:name="方正大标宋_GBK">
    <w:altName w:val="宋体"/>
    <w:panose1 w:val="03000509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ItalicT">
    <w:altName w:val="Segoe Print"/>
    <w:panose1 w:val="00000400000000000000"/>
    <w:charset w:val="00"/>
    <w:family w:val="auto"/>
    <w:pitch w:val="default"/>
    <w:sig w:usb0="00000000" w:usb1="00000000" w:usb2="00000000" w:usb3="00000000" w:csb0="000001FF" w:csb1="00000000"/>
  </w:font>
  <w:font w:name="ItalicC">
    <w:altName w:val="Segoe Print"/>
    <w:panose1 w:val="00000400000000000000"/>
    <w:charset w:val="00"/>
    <w:family w:val="auto"/>
    <w:pitch w:val="default"/>
    <w:sig w:usb0="00000000" w:usb1="00000000" w:usb2="00000000" w:usb3="00000000" w:csb0="000001FF" w:csb1="00000000"/>
  </w:font>
  <w:font w:name="MS PMincho">
    <w:panose1 w:val="02020600040205080304"/>
    <w:charset w:val="80"/>
    <w:family w:val="auto"/>
    <w:pitch w:val="default"/>
    <w:sig w:usb0="E00002FF" w:usb1="6AC7FDFB" w:usb2="08000012" w:usb3="00000000" w:csb0="4002009F" w:csb1="DFD7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简标宋">
    <w:altName w:val="宋体"/>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方正大标宋简体">
    <w:altName w:val="微软雅黑"/>
    <w:panose1 w:val="00000000000000000000"/>
    <w:charset w:val="00"/>
    <w:family w:val="auto"/>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方正舒体">
    <w:altName w:val="宋体"/>
    <w:panose1 w:val="02010601030101010101"/>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Nyala">
    <w:panose1 w:val="02000504070300020003"/>
    <w:charset w:val="00"/>
    <w:family w:val="auto"/>
    <w:pitch w:val="default"/>
    <w:sig w:usb0="A000006F" w:usb1="00000000" w:usb2="00000800" w:usb3="00000000" w:csb0="00000093" w:csb1="00000000"/>
  </w:font>
  <w:font w:name="Segoe Print">
    <w:panose1 w:val="02000600000000000000"/>
    <w:charset w:val="00"/>
    <w:family w:val="auto"/>
    <w:pitch w:val="default"/>
    <w:sig w:usb0="0000028F" w:usb1="00000000" w:usb2="00000000" w:usb3="00000000" w:csb0="2000009F" w:csb1="47010000"/>
  </w:font>
  <w:font w:name="Gabriola">
    <w:panose1 w:val="04040605051002020D02"/>
    <w:charset w:val="00"/>
    <w:family w:val="auto"/>
    <w:pitch w:val="default"/>
    <w:sig w:usb0="E00002EF" w:usb1="5000204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07795"/>
    <w:multiLevelType w:val="singleLevel"/>
    <w:tmpl w:val="55307795"/>
    <w:lvl w:ilvl="0" w:tentative="0">
      <w:start w:val="1"/>
      <w:numFmt w:val="decimal"/>
      <w:suff w:val="nothing"/>
      <w:lvlText w:val="%1."/>
      <w:lvlJc w:val="left"/>
    </w:lvl>
  </w:abstractNum>
  <w:abstractNum w:abstractNumId="1">
    <w:nsid w:val="553077D3"/>
    <w:multiLevelType w:val="singleLevel"/>
    <w:tmpl w:val="553077D3"/>
    <w:lvl w:ilvl="0" w:tentative="0">
      <w:start w:val="2"/>
      <w:numFmt w:val="chineseCounting"/>
      <w:suff w:val="nothing"/>
      <w:lvlText w:val="%1、"/>
      <w:lvlJc w:val="left"/>
    </w:lvl>
  </w:abstractNum>
  <w:abstractNum w:abstractNumId="2">
    <w:nsid w:val="55307817"/>
    <w:multiLevelType w:val="singleLevel"/>
    <w:tmpl w:val="55307817"/>
    <w:lvl w:ilvl="0" w:tentative="0">
      <w:start w:val="1"/>
      <w:numFmt w:val="decimal"/>
      <w:suff w:val="nothing"/>
      <w:lvlText w:val="%1."/>
      <w:lvlJc w:val="left"/>
    </w:lvl>
  </w:abstractNum>
  <w:abstractNum w:abstractNumId="3">
    <w:nsid w:val="553078A4"/>
    <w:multiLevelType w:val="singleLevel"/>
    <w:tmpl w:val="553078A4"/>
    <w:lvl w:ilvl="0" w:tentative="0">
      <w:start w:val="3"/>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24ED0"/>
    <w:rsid w:val="08235537"/>
    <w:rsid w:val="25590FB8"/>
    <w:rsid w:val="25924ED0"/>
    <w:rsid w:val="3B294DFF"/>
    <w:rsid w:val="489E7A26"/>
    <w:rsid w:val="66C87B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2016-09-07T06:47:00Z</dcterms:created>
  <dc:creator>cjf</dc:creator>
  <cp:lastModifiedBy>cjf</cp:lastModifiedBy>
  <dcterms:modified xsi:type="dcterms:W3CDTF">2016-11-11T06:29:15Z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