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28"/>
          <w:lang w:eastAsia="zh-CN"/>
        </w:rPr>
      </w:pPr>
      <w:r>
        <w:rPr>
          <w:rFonts w:hint="eastAsia"/>
          <w:b/>
          <w:bCs/>
          <w:sz w:val="32"/>
          <w:szCs w:val="28"/>
          <w:lang w:eastAsia="zh-CN"/>
        </w:rPr>
        <w:t>新北区新华实验小学“红领巾争当好少年”评选细则</w:t>
      </w:r>
    </w:p>
    <w:p>
      <w:pPr>
        <w:rPr>
          <w:rFonts w:hint="eastAsia"/>
          <w:lang w:eastAsia="zh-CN"/>
        </w:rPr>
      </w:pPr>
      <w:r>
        <w:rPr>
          <w:rFonts w:hint="eastAsia"/>
          <w:lang w:eastAsia="zh-CN"/>
        </w:rPr>
        <w:t>一：评选对象</w:t>
      </w:r>
    </w:p>
    <w:p>
      <w:pPr>
        <w:numPr>
          <w:ilvl w:val="0"/>
          <w:numId w:val="1"/>
        </w:numPr>
        <w:rPr>
          <w:rFonts w:hint="eastAsia"/>
          <w:color w:val="auto"/>
          <w:lang w:val="en-US" w:eastAsia="zh-CN"/>
        </w:rPr>
      </w:pPr>
      <w:r>
        <w:rPr>
          <w:rFonts w:hint="eastAsia"/>
          <w:color w:val="auto"/>
          <w:lang w:val="en-US" w:eastAsia="zh-CN"/>
        </w:rPr>
        <w:t>品学兼优、全面发展的在校3—6年级学生（三、四年级参加区级四好少年评选，五、六年级参加省市级四好少年评选）。</w:t>
      </w:r>
    </w:p>
    <w:p>
      <w:pPr>
        <w:numPr>
          <w:ilvl w:val="0"/>
          <w:numId w:val="1"/>
        </w:numPr>
        <w:rPr>
          <w:rFonts w:hint="eastAsia"/>
          <w:lang w:val="en-US" w:eastAsia="zh-CN"/>
        </w:rPr>
      </w:pPr>
      <w:r>
        <w:rPr>
          <w:rFonts w:hint="eastAsia"/>
          <w:lang w:val="en-US" w:eastAsia="zh-CN"/>
        </w:rPr>
        <w:t>我校</w:t>
      </w:r>
      <w:r>
        <w:rPr>
          <w:rFonts w:hint="eastAsia"/>
          <w:color w:val="auto"/>
          <w:lang w:val="en-US" w:eastAsia="zh-CN"/>
        </w:rPr>
        <w:t>就读不满一年的学生本年度不参与评选。</w:t>
      </w:r>
    </w:p>
    <w:p>
      <w:pPr>
        <w:numPr>
          <w:ilvl w:val="0"/>
          <w:numId w:val="2"/>
        </w:numPr>
        <w:rPr>
          <w:rFonts w:hint="eastAsia"/>
          <w:lang w:val="en-US" w:eastAsia="zh-CN"/>
        </w:rPr>
      </w:pPr>
      <w:r>
        <w:rPr>
          <w:rFonts w:hint="eastAsia"/>
          <w:lang w:val="en-US" w:eastAsia="zh-CN"/>
        </w:rPr>
        <w:t>评选条件（同时具备1-4）</w:t>
      </w:r>
    </w:p>
    <w:p>
      <w:pPr>
        <w:numPr>
          <w:ilvl w:val="0"/>
          <w:numId w:val="3"/>
        </w:numPr>
        <w:rPr>
          <w:rFonts w:hint="eastAsia"/>
          <w:lang w:val="en-US" w:eastAsia="zh-CN"/>
        </w:rPr>
      </w:pPr>
      <w:r>
        <w:rPr>
          <w:rFonts w:hint="eastAsia"/>
          <w:lang w:val="en-US" w:eastAsia="zh-CN"/>
        </w:rPr>
        <w:t>行为习惯好、思想品德好，无违纪违规现象。</w:t>
      </w:r>
    </w:p>
    <w:p>
      <w:pPr>
        <w:numPr>
          <w:ilvl w:val="0"/>
          <w:numId w:val="3"/>
        </w:numPr>
        <w:rPr>
          <w:rFonts w:hint="eastAsia"/>
          <w:color w:val="auto"/>
          <w:lang w:val="en-US" w:eastAsia="zh-CN"/>
        </w:rPr>
      </w:pPr>
      <w:r>
        <w:rPr>
          <w:rFonts w:hint="eastAsia"/>
          <w:lang w:val="en-US" w:eastAsia="zh-CN"/>
        </w:rPr>
        <w:t>在班级“八礼四仪”项目投票通</w:t>
      </w:r>
      <w:r>
        <w:rPr>
          <w:rFonts w:hint="eastAsia"/>
          <w:color w:val="auto"/>
          <w:lang w:val="en-US" w:eastAsia="zh-CN"/>
        </w:rPr>
        <w:t>过率90%以上。</w:t>
      </w:r>
    </w:p>
    <w:p>
      <w:pPr>
        <w:numPr>
          <w:numId w:val="0"/>
        </w:numPr>
        <w:rPr>
          <w:rFonts w:hint="eastAsia"/>
          <w:color w:val="auto"/>
          <w:lang w:val="en-US" w:eastAsia="zh-CN"/>
        </w:rPr>
      </w:pPr>
      <w:r>
        <w:rPr>
          <w:rFonts w:hint="eastAsia"/>
          <w:color w:val="auto"/>
          <w:lang w:val="en-US" w:eastAsia="zh-CN"/>
        </w:rPr>
        <w:t>3.根据上学期期末成绩按年级前15名确定候选人。</w:t>
      </w:r>
    </w:p>
    <w:p>
      <w:pPr>
        <w:numPr>
          <w:numId w:val="0"/>
        </w:numPr>
        <w:rPr>
          <w:rFonts w:hint="eastAsia"/>
          <w:lang w:val="en-US" w:eastAsia="zh-CN"/>
        </w:rPr>
      </w:pPr>
      <w:r>
        <w:rPr>
          <w:rFonts w:hint="eastAsia"/>
          <w:lang w:val="en-US" w:eastAsia="zh-CN"/>
        </w:rPr>
        <w:t>4.两学期体质健康抽测达到良好及以上。</w:t>
      </w:r>
    </w:p>
    <w:p>
      <w:pPr>
        <w:widowControl w:val="0"/>
        <w:numPr>
          <w:ilvl w:val="0"/>
          <w:numId w:val="4"/>
        </w:numPr>
        <w:jc w:val="both"/>
        <w:rPr>
          <w:rFonts w:hint="eastAsia"/>
          <w:lang w:val="en-US" w:eastAsia="zh-CN"/>
        </w:rPr>
      </w:pPr>
      <w:r>
        <w:rPr>
          <w:rFonts w:hint="eastAsia"/>
          <w:lang w:val="en-US" w:eastAsia="zh-CN"/>
        </w:rPr>
        <w:t>加分条件</w:t>
      </w:r>
    </w:p>
    <w:p>
      <w:pPr>
        <w:widowControl w:val="0"/>
        <w:numPr>
          <w:ilvl w:val="0"/>
          <w:numId w:val="0"/>
        </w:numPr>
        <w:jc w:val="both"/>
        <w:rPr>
          <w:rFonts w:hint="eastAsia"/>
          <w:lang w:val="en-US" w:eastAsia="zh-CN"/>
        </w:rPr>
      </w:pPr>
      <w:r>
        <w:rPr>
          <w:rFonts w:hint="eastAsia"/>
          <w:lang w:val="en-US" w:eastAsia="zh-CN"/>
        </w:rPr>
        <w:t>个人单项奖</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4"/>
        <w:gridCol w:w="1224"/>
        <w:gridCol w:w="1218"/>
        <w:gridCol w:w="120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23" w:type="dxa"/>
            <w:vAlign w:val="top"/>
          </w:tcPr>
          <w:p>
            <w:pPr>
              <w:widowControl w:val="0"/>
              <w:numPr>
                <w:ilvl w:val="0"/>
                <w:numId w:val="0"/>
              </w:numPr>
              <w:jc w:val="both"/>
              <w:rPr>
                <w:rFonts w:hint="eastAsia"/>
                <w:vertAlign w:val="baseline"/>
                <w:lang w:val="en-US" w:eastAsia="zh-CN"/>
              </w:rPr>
            </w:pPr>
          </w:p>
        </w:tc>
        <w:tc>
          <w:tcPr>
            <w:tcW w:w="1223"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国家级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lang w:val="en-US" w:eastAsia="zh-CN"/>
              </w:rPr>
              <w:t>省级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市级</w:t>
            </w:r>
          </w:p>
        </w:tc>
        <w:tc>
          <w:tcPr>
            <w:tcW w:w="1218"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区级</w:t>
            </w:r>
          </w:p>
        </w:tc>
        <w:tc>
          <w:tcPr>
            <w:tcW w:w="1205"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校级</w:t>
            </w:r>
          </w:p>
        </w:tc>
        <w:tc>
          <w:tcPr>
            <w:tcW w:w="1202" w:type="dxa"/>
            <w:textDirection w:val="lrTb"/>
            <w:vAlign w:val="top"/>
          </w:tcPr>
          <w:p>
            <w:pPr>
              <w:widowControl w:val="0"/>
              <w:numPr>
                <w:ilvl w:val="0"/>
                <w:numId w:val="0"/>
              </w:numPr>
              <w:ind w:left="0" w:leftChars="0" w:firstLine="0" w:firstLineChars="0"/>
              <w:jc w:val="both"/>
            </w:pPr>
            <w:r>
              <w:rPr>
                <w:rFonts w:hint="eastAsia"/>
                <w:color w:val="auto"/>
                <w:sz w:val="24"/>
                <w:szCs w:val="22"/>
                <w:lang w:val="en-US" w:eastAsia="zh-CN"/>
              </w:rPr>
              <w:t>雷勃电气奖学金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一等奖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12</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10</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7</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2</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二等奖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8</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7</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3</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三等奖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6</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3</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2</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0.5</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1</w:t>
            </w:r>
          </w:p>
        </w:tc>
      </w:tr>
    </w:tbl>
    <w:p>
      <w:pPr>
        <w:widowControl w:val="0"/>
        <w:numPr>
          <w:ilvl w:val="0"/>
          <w:numId w:val="0"/>
        </w:numPr>
        <w:jc w:val="both"/>
        <w:rPr>
          <w:rFonts w:hint="eastAsia"/>
          <w:lang w:val="en-US" w:eastAsia="zh-CN"/>
        </w:rPr>
      </w:pPr>
      <w:r>
        <w:rPr>
          <w:rFonts w:hint="eastAsia"/>
          <w:lang w:val="en-US" w:eastAsia="zh-CN"/>
        </w:rPr>
        <w:t>团体奖</w:t>
      </w:r>
    </w:p>
    <w:tbl>
      <w:tblPr>
        <w:tblStyle w:val="4"/>
        <w:tblW w:w="7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4"/>
        <w:gridCol w:w="1224"/>
        <w:gridCol w:w="121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23" w:type="dxa"/>
            <w:vAlign w:val="top"/>
          </w:tcPr>
          <w:p>
            <w:pPr>
              <w:widowControl w:val="0"/>
              <w:numPr>
                <w:ilvl w:val="0"/>
                <w:numId w:val="0"/>
              </w:numPr>
              <w:jc w:val="both"/>
              <w:rPr>
                <w:rFonts w:hint="eastAsia"/>
                <w:vertAlign w:val="baseline"/>
                <w:lang w:val="en-US" w:eastAsia="zh-CN"/>
              </w:rPr>
            </w:pPr>
          </w:p>
        </w:tc>
        <w:tc>
          <w:tcPr>
            <w:tcW w:w="1223"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国家级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lang w:val="en-US" w:eastAsia="zh-CN"/>
              </w:rPr>
              <w:t>省级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市级</w:t>
            </w:r>
          </w:p>
        </w:tc>
        <w:tc>
          <w:tcPr>
            <w:tcW w:w="1218"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区级</w:t>
            </w:r>
          </w:p>
        </w:tc>
        <w:tc>
          <w:tcPr>
            <w:tcW w:w="1205"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一等奖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8</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5</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05"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二等奖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5</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c>
          <w:tcPr>
            <w:tcW w:w="1205"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三等奖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0.5</w:t>
            </w:r>
          </w:p>
        </w:tc>
        <w:tc>
          <w:tcPr>
            <w:tcW w:w="1205" w:type="dxa"/>
            <w:vAlign w:val="top"/>
          </w:tcPr>
          <w:p>
            <w:pPr>
              <w:widowControl w:val="0"/>
              <w:numPr>
                <w:ilvl w:val="0"/>
                <w:numId w:val="0"/>
              </w:numPr>
              <w:jc w:val="both"/>
              <w:rPr>
                <w:rFonts w:hint="eastAsia"/>
                <w:vertAlign w:val="baseline"/>
                <w:lang w:val="en-US" w:eastAsia="zh-CN"/>
              </w:rPr>
            </w:pPr>
          </w:p>
        </w:tc>
      </w:tr>
    </w:tbl>
    <w:p>
      <w:pPr>
        <w:numPr>
          <w:ilvl w:val="0"/>
          <w:numId w:val="0"/>
        </w:numPr>
        <w:spacing w:line="500" w:lineRule="exact"/>
        <w:rPr>
          <w:rFonts w:hint="eastAsia"/>
          <w:sz w:val="24"/>
          <w:szCs w:val="22"/>
          <w:lang w:val="en-US" w:eastAsia="zh-CN"/>
        </w:rPr>
      </w:pPr>
      <w:r>
        <w:rPr>
          <w:rFonts w:hint="eastAsia"/>
          <w:sz w:val="24"/>
          <w:szCs w:val="22"/>
          <w:lang w:val="en-US" w:eastAsia="zh-CN"/>
        </w:rPr>
        <w:t>说明：</w:t>
      </w:r>
    </w:p>
    <w:p>
      <w:pPr>
        <w:widowControl w:val="0"/>
        <w:numPr>
          <w:ilvl w:val="0"/>
          <w:numId w:val="0"/>
        </w:numPr>
        <w:jc w:val="both"/>
        <w:rPr>
          <w:rFonts w:hint="eastAsia"/>
          <w:color w:val="auto"/>
          <w:sz w:val="24"/>
          <w:szCs w:val="22"/>
          <w:lang w:val="en-US" w:eastAsia="zh-CN"/>
        </w:rPr>
      </w:pPr>
      <w:r>
        <w:rPr>
          <w:rFonts w:hint="eastAsia"/>
          <w:sz w:val="24"/>
          <w:szCs w:val="22"/>
          <w:lang w:val="en-US" w:eastAsia="zh-CN"/>
        </w:rPr>
        <w:t>1.</w:t>
      </w:r>
      <w:r>
        <w:rPr>
          <w:rFonts w:hint="eastAsia"/>
          <w:color w:val="auto"/>
          <w:sz w:val="24"/>
          <w:szCs w:val="22"/>
          <w:lang w:val="en-US" w:eastAsia="zh-CN"/>
        </w:rPr>
        <w:t>所有获奖原件需由上级教育主管部门盖章或由区教育部门统一组织参加的比赛。由学校统一组织，无教育部门盖章的区级以上获奖，不论级别，按1分计算，且同一性质比赛只取最高分，不重复计算。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2.被评选为少先队大队委员、广播站主持人加2分。红领巾值日岗队员加2分。</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3.2015年9月起获校“新福娃”、“文明礼仪之星”等学校组织的评比活动得1分，三好学生得2分，五好学生得3分。</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4.同一主办部门组织活动或同一比赛项目在不同级别中，按一次最高分计算。（同类项目不再细分具体项目，只取最高分值证书一张。）</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5.在区级体育竞赛中，参加区级比赛运动员，比赛中为学校获得分值按一半计算。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6.小记者在市级刊物上发表文章按1分/篇计算。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6.各项成绩、取得荣誉时间为前一年5月至当年4月。</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7.已经当选过“好少年”的同学不再参与同级评选。</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8.取得省四好少年的学生不再参与“市优秀少先队员”、“雷勃电气奖学金”评选。</w:t>
      </w:r>
    </w:p>
    <w:p>
      <w:pPr>
        <w:widowControl w:val="0"/>
        <w:numPr>
          <w:ilvl w:val="0"/>
          <w:numId w:val="4"/>
        </w:numPr>
        <w:jc w:val="both"/>
        <w:rPr>
          <w:rFonts w:hint="eastAsia"/>
          <w:sz w:val="24"/>
          <w:szCs w:val="22"/>
          <w:lang w:val="en-US" w:eastAsia="zh-CN"/>
        </w:rPr>
      </w:pPr>
      <w:r>
        <w:rPr>
          <w:rFonts w:hint="eastAsia"/>
          <w:sz w:val="24"/>
          <w:szCs w:val="22"/>
          <w:lang w:val="en-US" w:eastAsia="zh-CN"/>
        </w:rPr>
        <w:t>评选程序</w:t>
      </w:r>
    </w:p>
    <w:p>
      <w:pPr>
        <w:widowControl w:val="0"/>
        <w:numPr>
          <w:ilvl w:val="0"/>
          <w:numId w:val="0"/>
        </w:numPr>
        <w:jc w:val="both"/>
        <w:rPr>
          <w:rFonts w:hint="eastAsia"/>
          <w:sz w:val="24"/>
          <w:szCs w:val="2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264160</wp:posOffset>
                </wp:positionV>
                <wp:extent cx="390525" cy="75565"/>
                <wp:effectExtent l="8255" t="11430" r="39370" b="27305"/>
                <wp:wrapNone/>
                <wp:docPr id="4"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66.3pt;margin-top:20.8pt;height:5.95pt;width:30.75pt;z-index:251661312;mso-width-relative:page;mso-height-relative:page;" fillcolor="#BBD5F0" filled="t" stroked="t" coordsize="21600,21600" o:gfxdata="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MOo9O&#10;2AAAAAkBAAAPAAAAAAAAAAEAIAAAACIAAABkcnMvZG93bnJldi54bWxQSwECFAAUAAAACACHTuJA&#10;+VU8cFoCAADBBAAADgAAAAAAAAABACAAAAAnAQAAZHJzL2Uyb0RvYy54bWxQSwUGAAAAAAYABgBZ&#10;AQAA8wU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4461510</wp:posOffset>
                </wp:positionH>
                <wp:positionV relativeFrom="paragraph">
                  <wp:posOffset>53975</wp:posOffset>
                </wp:positionV>
                <wp:extent cx="390525" cy="75565"/>
                <wp:effectExtent l="8255" t="11430" r="39370" b="27305"/>
                <wp:wrapNone/>
                <wp:docPr id="3"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351.3pt;margin-top:4.25pt;height:5.95pt;width:30.75pt;z-index:251660288;mso-width-relative:page;mso-height-relative:page;" fillcolor="#BBD5F0" filled="t" stroked="t" coordsize="21600,21600" o:gfxdata="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Mlos3Y&#10;AAAACAEAAA8AAAAAAAAAAQAgAAAAIgAAAGRycy9kb3ducmV2LnhtbFBLAQIUABQAAAAIAIdO4kAD&#10;5HHBWQIAAMEEAAAOAAAAAAAAAAEAIAAAACcBAABkcnMvZTJvRG9jLnhtbFBLBQYAAAAABgAGAFkB&#10;AADyBQ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1413510</wp:posOffset>
                </wp:positionH>
                <wp:positionV relativeFrom="paragraph">
                  <wp:posOffset>63500</wp:posOffset>
                </wp:positionV>
                <wp:extent cx="390525" cy="75565"/>
                <wp:effectExtent l="8255" t="11430" r="39370" b="27305"/>
                <wp:wrapNone/>
                <wp:docPr id="1"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y;margin-left:111.3pt;margin-top:5pt;height:5.95pt;width:30.75pt;z-index:251658240;mso-width-relative:page;mso-height-relative:page;" fillcolor="#BBD5F0" filled="t" stroked="t" coordsize="21600,21600" o:gfxdata="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1QINx1wAA&#10;AAkBAAAPAAAAAAAAAAEAIAAAACIAAABkcnMvZG93bnJldi54bWxQSwECFAAUAAAACACHTuJAySvU&#10;MFgCAADBBAAADgAAAAAAAAABACAAAAAmAQAAZHJzL2Uyb0RvYy54bWxQSwUGAAAAAAYABgBZAQAA&#10;8AU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2461260</wp:posOffset>
                </wp:positionH>
                <wp:positionV relativeFrom="paragraph">
                  <wp:posOffset>73025</wp:posOffset>
                </wp:positionV>
                <wp:extent cx="390525" cy="75565"/>
                <wp:effectExtent l="8255" t="11430" r="39370" b="27305"/>
                <wp:wrapNone/>
                <wp:docPr id="2"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193.8pt;margin-top:5.75pt;height:5.95pt;width:30.75pt;z-index:251659264;mso-width-relative:page;mso-height-relative:page;" fillcolor="#BBD5F0" filled="t" stroked="t" coordsize="21600,21600" o:gfxdata="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9e&#10;kkXZAAAACQEAAA8AAAAAAAAAAQAgAAAAIgAAAGRycy9kb3ducmV2LnhtbFBLAQIUABQAAAAIAIdO&#10;4kDmA6O5WwIAAMEEAAAOAAAAAAAAAAEAIAAAACgBAABkcnMvZTJvRG9jLnhtbFBLBQYAAAAABgAG&#10;AFkBAAD1BQ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sz w:val="24"/>
          <w:szCs w:val="22"/>
          <w:lang w:val="en-US" w:eastAsia="zh-CN"/>
        </w:rPr>
        <w:t>班主任宣布评审条件      自我申报      评审组材料审核、打分       确定名单、公示       上报区少工委</w:t>
      </w:r>
    </w:p>
    <w:p>
      <w:pPr>
        <w:widowControl w:val="0"/>
        <w:numPr>
          <w:ilvl w:val="0"/>
          <w:numId w:val="0"/>
        </w:numPr>
        <w:jc w:val="both"/>
        <w:rPr>
          <w:rFonts w:hint="eastAsia"/>
          <w:b/>
          <w:bCs/>
          <w:sz w:val="28"/>
          <w:szCs w:val="24"/>
          <w:lang w:eastAsia="zh-CN"/>
        </w:rPr>
      </w:pPr>
      <w:r>
        <w:rPr>
          <w:rFonts w:hint="eastAsia"/>
          <w:b/>
          <w:bCs/>
          <w:sz w:val="32"/>
          <w:szCs w:val="28"/>
          <w:lang w:val="en-US" w:eastAsia="zh-CN"/>
        </w:rPr>
        <w:t xml:space="preserve">                       </w:t>
      </w:r>
      <w:r>
        <w:rPr>
          <w:rFonts w:hint="eastAsia"/>
          <w:b/>
          <w:bCs/>
          <w:sz w:val="28"/>
          <w:szCs w:val="24"/>
          <w:lang w:eastAsia="zh-CN"/>
        </w:rPr>
        <w:t>新北区新华实验小学少先队大队部</w:t>
      </w:r>
    </w:p>
    <w:p>
      <w:pPr>
        <w:widowControl w:val="0"/>
        <w:numPr>
          <w:ilvl w:val="0"/>
          <w:numId w:val="0"/>
        </w:numPr>
        <w:jc w:val="both"/>
        <w:rPr>
          <w:rFonts w:hint="eastAsia"/>
          <w:b/>
          <w:bCs/>
          <w:sz w:val="28"/>
          <w:szCs w:val="24"/>
          <w:lang w:val="en-US" w:eastAsia="zh-CN"/>
        </w:rPr>
      </w:pPr>
      <w:r>
        <w:rPr>
          <w:rFonts w:hint="eastAsia"/>
          <w:b/>
          <w:bCs/>
          <w:sz w:val="28"/>
          <w:szCs w:val="24"/>
          <w:lang w:val="en-US" w:eastAsia="zh-CN"/>
        </w:rPr>
        <w:t xml:space="preserve">                                         2016年11月10日</w:t>
      </w:r>
    </w:p>
    <w:p>
      <w:pPr>
        <w:spacing w:after="156" w:afterLines="50" w:line="600" w:lineRule="exact"/>
        <w:jc w:val="center"/>
        <w:rPr>
          <w:rFonts w:hint="default"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lang w:val="en-US" w:eastAsia="zh-CN"/>
        </w:rPr>
        <w:t>新华实验小学评分</w:t>
      </w:r>
      <w:r>
        <w:rPr>
          <w:rFonts w:hint="default" w:ascii="Times New Roman" w:hAnsi="Times New Roman" w:eastAsia="方正小标宋简体" w:cs="Times New Roman"/>
          <w:sz w:val="44"/>
          <w:szCs w:val="44"/>
        </w:rPr>
        <w:t>汇总表</w:t>
      </w:r>
    </w:p>
    <w:p>
      <w:pPr>
        <w:adjustRightInd w:val="0"/>
        <w:snapToGrid w:val="0"/>
        <w:ind w:left="-178" w:leftChars="-8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bl>
      <w:tblPr>
        <w:tblStyle w:val="3"/>
        <w:tblW w:w="9280" w:type="dxa"/>
        <w:jc w:val="center"/>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721"/>
        <w:gridCol w:w="109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24" w:type="dxa"/>
            <w:vAlign w:val="center"/>
          </w:tcPr>
          <w:p>
            <w:pPr>
              <w:spacing w:line="3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5721" w:type="dxa"/>
            <w:vAlign w:val="center"/>
          </w:tcPr>
          <w:p>
            <w:pPr>
              <w:spacing w:line="300" w:lineRule="exact"/>
              <w:jc w:val="center"/>
              <w:rPr>
                <w:rFonts w:hint="eastAsia" w:ascii="Times New Roman" w:hAnsi="Times New Roman" w:eastAsia="方正黑体_GBK" w:cs="Times New Roman"/>
                <w:sz w:val="28"/>
                <w:szCs w:val="28"/>
                <w:lang w:eastAsia="zh-CN"/>
              </w:rPr>
            </w:pPr>
            <w:r>
              <w:rPr>
                <w:rFonts w:hint="eastAsia" w:ascii="Times New Roman" w:hAnsi="Times New Roman" w:eastAsia="方正黑体_GBK" w:cs="Times New Roman"/>
                <w:sz w:val="28"/>
                <w:szCs w:val="28"/>
                <w:lang w:val="en-US" w:eastAsia="zh-CN"/>
              </w:rPr>
              <w:t>奖项</w:t>
            </w:r>
          </w:p>
        </w:tc>
        <w:tc>
          <w:tcPr>
            <w:tcW w:w="1094" w:type="dxa"/>
            <w:vAlign w:val="center"/>
          </w:tcPr>
          <w:p>
            <w:pPr>
              <w:spacing w:line="300" w:lineRule="exact"/>
              <w:jc w:val="center"/>
              <w:rPr>
                <w:rFonts w:hint="eastAsia" w:ascii="Times New Roman" w:hAnsi="Times New Roman" w:eastAsia="方正黑体_GBK" w:cs="Times New Roman"/>
                <w:sz w:val="28"/>
                <w:szCs w:val="28"/>
                <w:lang w:eastAsia="zh-CN"/>
              </w:rPr>
            </w:pPr>
            <w:r>
              <w:rPr>
                <w:rFonts w:hint="eastAsia" w:ascii="Times New Roman" w:hAnsi="Times New Roman" w:eastAsia="方正黑体_GBK" w:cs="Times New Roman"/>
                <w:sz w:val="28"/>
                <w:szCs w:val="28"/>
                <w:lang w:val="en-US" w:eastAsia="zh-CN"/>
              </w:rPr>
              <w:t>得分</w:t>
            </w:r>
          </w:p>
        </w:tc>
        <w:tc>
          <w:tcPr>
            <w:tcW w:w="1641" w:type="dxa"/>
            <w:vAlign w:val="center"/>
          </w:tcPr>
          <w:p>
            <w:pPr>
              <w:spacing w:line="300" w:lineRule="exact"/>
              <w:jc w:val="center"/>
              <w:rPr>
                <w:rFonts w:hint="eastAsia" w:ascii="Times New Roman" w:hAnsi="Times New Roman" w:eastAsia="方正黑体_GBK" w:cs="Times New Roman"/>
                <w:sz w:val="28"/>
                <w:szCs w:val="28"/>
                <w:lang w:val="en-US" w:eastAsia="zh-CN"/>
              </w:rPr>
            </w:pPr>
            <w:r>
              <w:rPr>
                <w:rFonts w:hint="eastAsia" w:ascii="Times New Roman" w:hAnsi="Times New Roman" w:eastAsia="方正黑体_GBK" w:cs="Times New Roman"/>
                <w:sz w:val="28"/>
                <w:szCs w:val="28"/>
                <w:lang w:val="en-US" w:eastAsia="zh-CN"/>
              </w:rPr>
              <w:t>评审组签名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restart"/>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4" w:type="dxa"/>
            <w:vAlign w:val="top"/>
          </w:tcPr>
          <w:p>
            <w:pPr>
              <w:spacing w:line="300" w:lineRule="exact"/>
              <w:rPr>
                <w:rFonts w:hint="default" w:ascii="Times New Roman" w:hAnsi="Times New Roman" w:eastAsia="黑体" w:cs="Times New Roman"/>
                <w:sz w:val="32"/>
              </w:rPr>
            </w:pPr>
          </w:p>
        </w:tc>
        <w:tc>
          <w:tcPr>
            <w:tcW w:w="5721" w:type="dxa"/>
            <w:vAlign w:val="top"/>
          </w:tcPr>
          <w:p>
            <w:pPr>
              <w:spacing w:line="300" w:lineRule="exact"/>
              <w:rPr>
                <w:rFonts w:hint="default" w:ascii="Times New Roman" w:hAnsi="Times New Roman" w:eastAsia="黑体" w:cs="Times New Roman"/>
                <w:sz w:val="32"/>
              </w:rPr>
            </w:pPr>
          </w:p>
        </w:tc>
        <w:tc>
          <w:tcPr>
            <w:tcW w:w="1094" w:type="dxa"/>
            <w:vAlign w:val="top"/>
          </w:tcPr>
          <w:p>
            <w:pPr>
              <w:spacing w:line="300" w:lineRule="exact"/>
              <w:rPr>
                <w:rFonts w:hint="default" w:ascii="Times New Roman" w:hAnsi="Times New Roman" w:eastAsia="黑体" w:cs="Times New Roman"/>
                <w:sz w:val="32"/>
              </w:rPr>
            </w:pPr>
          </w:p>
        </w:tc>
        <w:tc>
          <w:tcPr>
            <w:tcW w:w="1641" w:type="dxa"/>
            <w:vMerge w:val="continue"/>
            <w:vAlign w:val="top"/>
          </w:tcPr>
          <w:p>
            <w:pPr>
              <w:spacing w:line="300" w:lineRule="exact"/>
              <w:rPr>
                <w:rFonts w:hint="default" w:ascii="Times New Roman" w:hAnsi="Times New Roman" w:eastAsia="黑体" w:cs="Times New Roman"/>
                <w:sz w:val="32"/>
              </w:rPr>
            </w:pPr>
          </w:p>
        </w:tc>
      </w:tr>
    </w:tbl>
    <w:p>
      <w:pPr>
        <w:rPr>
          <w:rFonts w:hint="eastAsia"/>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仿宋">
    <w:altName w:val="方正兰亭超细黑简体"/>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Bookman Old Style">
    <w:altName w:val="Segoe Print"/>
    <w:panose1 w:val="0205060405050502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Lucida Bright">
    <w:altName w:val="Segoe Print"/>
    <w:panose1 w:val="02040602050505020304"/>
    <w:charset w:val="00"/>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方正大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ItalicT">
    <w:altName w:val="Segoe Print"/>
    <w:panose1 w:val="00000400000000000000"/>
    <w:charset w:val="00"/>
    <w:family w:val="auto"/>
    <w:pitch w:val="default"/>
    <w:sig w:usb0="00000000" w:usb1="00000000" w:usb2="00000000" w:usb3="00000000" w:csb0="000001FF" w:csb1="00000000"/>
  </w:font>
  <w:font w:name="ItalicC">
    <w:altName w:val="Segoe Print"/>
    <w:panose1 w:val="00000400000000000000"/>
    <w:charset w:val="00"/>
    <w:family w:val="auto"/>
    <w:pitch w:val="default"/>
    <w:sig w:usb0="00000000" w:usb1="00000000" w:usb2="00000000" w:usb3="00000000" w:csb0="000001FF" w:csb1="00000000"/>
  </w:font>
  <w:font w:name="MS PMincho">
    <w:panose1 w:val="02020600040205080304"/>
    <w:charset w:val="80"/>
    <w:family w:val="auto"/>
    <w:pitch w:val="default"/>
    <w:sig w:usb0="E00002FF" w:usb1="6AC7FDFB" w:usb2="08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7795"/>
    <w:multiLevelType w:val="singleLevel"/>
    <w:tmpl w:val="55307795"/>
    <w:lvl w:ilvl="0" w:tentative="0">
      <w:start w:val="1"/>
      <w:numFmt w:val="decimal"/>
      <w:suff w:val="nothing"/>
      <w:lvlText w:val="%1."/>
      <w:lvlJc w:val="left"/>
    </w:lvl>
  </w:abstractNum>
  <w:abstractNum w:abstractNumId="1">
    <w:nsid w:val="553077D3"/>
    <w:multiLevelType w:val="singleLevel"/>
    <w:tmpl w:val="553077D3"/>
    <w:lvl w:ilvl="0" w:tentative="0">
      <w:start w:val="2"/>
      <w:numFmt w:val="chineseCounting"/>
      <w:suff w:val="nothing"/>
      <w:lvlText w:val="%1、"/>
      <w:lvlJc w:val="left"/>
    </w:lvl>
  </w:abstractNum>
  <w:abstractNum w:abstractNumId="2">
    <w:nsid w:val="55307817"/>
    <w:multiLevelType w:val="singleLevel"/>
    <w:tmpl w:val="55307817"/>
    <w:lvl w:ilvl="0" w:tentative="0">
      <w:start w:val="1"/>
      <w:numFmt w:val="decimal"/>
      <w:suff w:val="nothing"/>
      <w:lvlText w:val="%1."/>
      <w:lvlJc w:val="left"/>
    </w:lvl>
  </w:abstractNum>
  <w:abstractNum w:abstractNumId="3">
    <w:nsid w:val="553078A4"/>
    <w:multiLevelType w:val="singleLevel"/>
    <w:tmpl w:val="553078A4"/>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7144D"/>
    <w:rsid w:val="21707476"/>
    <w:rsid w:val="222832CA"/>
    <w:rsid w:val="234008A0"/>
    <w:rsid w:val="24E7109A"/>
    <w:rsid w:val="28600EBE"/>
    <w:rsid w:val="2BFC38C2"/>
    <w:rsid w:val="2D8D0BC2"/>
    <w:rsid w:val="3D3D067A"/>
    <w:rsid w:val="428D3095"/>
    <w:rsid w:val="4682642C"/>
    <w:rsid w:val="46FB7898"/>
    <w:rsid w:val="4EA114FA"/>
    <w:rsid w:val="4EF11E1D"/>
    <w:rsid w:val="4FA96AF7"/>
    <w:rsid w:val="557E3E60"/>
    <w:rsid w:val="56046F7E"/>
    <w:rsid w:val="585B0C64"/>
    <w:rsid w:val="5DBA2EC4"/>
    <w:rsid w:val="6157144D"/>
    <w:rsid w:val="652669E5"/>
    <w:rsid w:val="6B0C59C1"/>
    <w:rsid w:val="6FEE2314"/>
    <w:rsid w:val="702645EA"/>
    <w:rsid w:val="73DB6A5F"/>
    <w:rsid w:val="75292FE4"/>
    <w:rsid w:val="76161574"/>
    <w:rsid w:val="77A04921"/>
    <w:rsid w:val="79643D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2016-04-11T01:13:00Z</dcterms:created>
  <dc:creator>cjf</dc:creator>
  <cp:lastModifiedBy>cjf</cp:lastModifiedBy>
  <dcterms:modified xsi:type="dcterms:W3CDTF">2016-11-11T06:26:44Z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