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曹立新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分管工作：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德育</w:t>
      </w:r>
      <w:r>
        <w:rPr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填表日期：</w:t>
      </w:r>
      <w:r>
        <w:rPr>
          <w:kern w:val="0"/>
          <w:sz w:val="28"/>
          <w:szCs w:val="28"/>
          <w:u w:val="single"/>
        </w:rPr>
        <w:t>201</w:t>
      </w:r>
      <w:r>
        <w:rPr>
          <w:rFonts w:hint="eastAsia"/>
          <w:kern w:val="0"/>
          <w:sz w:val="28"/>
          <w:szCs w:val="28"/>
          <w:u w:val="single"/>
        </w:rPr>
        <w:t>7</w:t>
      </w:r>
      <w:r>
        <w:rPr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kern w:val="0"/>
          <w:sz w:val="28"/>
          <w:szCs w:val="28"/>
          <w:u w:val="single"/>
        </w:rPr>
        <w:t>.3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>1</w:t>
      </w:r>
      <w:r>
        <w:rPr>
          <w:kern w:val="0"/>
          <w:sz w:val="28"/>
          <w:szCs w:val="28"/>
          <w:u w:val="single"/>
        </w:rPr>
        <w:t xml:space="preserve">  </w:t>
      </w:r>
    </w:p>
    <w:tbl>
      <w:tblPr>
        <w:tblStyle w:val="4"/>
        <w:tblpPr w:leftFromText="180" w:rightFromText="180" w:vertAnchor="text" w:horzAnchor="page" w:tblpX="1878" w:tblpY="253"/>
        <w:tblOverlap w:val="never"/>
        <w:tblW w:w="8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738"/>
        <w:gridCol w:w="1154"/>
        <w:gridCol w:w="13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4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4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  <w:t>成功举行了首届校园锡剧艺术节系列活动。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  <w:t>2.召开了四、五年级的期中家长会。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  <w:t>3.2017年校园科技节活动开幕。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  <w:t>4.参加区关工委2017年常态化建设巩固提高奖评选活动。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/>
              </w:rPr>
              <w:t>5.开展2017年学校文化特色建设考评工作。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6.组织学生软笔、硬笔书法考级。</w:t>
            </w:r>
          </w:p>
        </w:tc>
        <w:tc>
          <w:tcPr>
            <w:tcW w:w="1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利用家长会时间邀请家庭教育讲师朱和琴为四年级家长做了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专题讲座。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分管学科或蹲点年级工作</w:t>
            </w:r>
          </w:p>
        </w:tc>
        <w:tc>
          <w:tcPr>
            <w:tcW w:w="4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能坚持每周</w:t>
            </w:r>
            <w:r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  <w:t>2次到四年级组与教师进行交流，每周2次对四年级学生、教室进行巡视。</w:t>
            </w:r>
          </w:p>
        </w:tc>
        <w:tc>
          <w:tcPr>
            <w:tcW w:w="1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听课任务完不成。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任教学科与个人发展情况</w:t>
            </w:r>
          </w:p>
        </w:tc>
        <w:tc>
          <w:tcPr>
            <w:tcW w:w="4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本月工作亮点（含通讯报道情况）</w:t>
            </w:r>
          </w:p>
        </w:tc>
        <w:tc>
          <w:tcPr>
            <w:tcW w:w="7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本月区网站</w:t>
            </w:r>
            <w:r>
              <w:rPr>
                <w:rFonts w:hint="eastAsia" w:ascii="宋体" w:hAnsi="Calibri" w:cs="宋体"/>
                <w:kern w:val="0"/>
                <w:szCs w:val="21"/>
                <w:lang w:val="zh-CN" w:eastAsia="zh-CN"/>
              </w:rPr>
              <w:t>发报道</w:t>
            </w:r>
            <w:r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  <w:t>6篇。锡剧节活动节目在常州电视台和《常州日报》客户端进行了报道。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主要工作经验</w:t>
            </w:r>
          </w:p>
        </w:tc>
        <w:tc>
          <w:tcPr>
            <w:tcW w:w="7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下月重点工作</w:t>
            </w:r>
          </w:p>
        </w:tc>
        <w:tc>
          <w:tcPr>
            <w:tcW w:w="7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《和之韵》校报期中刊的编印。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组织2017年度中小学班主任（德育）论文评选活动。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.组织“12.4”普法宣传活动。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.评选“和乐娃”。（各年级组）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5.三年级5个班级的家长会。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6.继续完成科技节的系列活动。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7.与智多星少儿艺术培训中心签订协议，组建舞蹈队（高技负责）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8.参加区创客比赛之机器人比赛。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9.完成少年宫项目管理平台的档案填报工作。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10.锡剧版校歌的重新灌唱和制作。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11.开展12.4宪法日暨法制宣传月活动。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/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360" w:lineRule="exact"/>
        <w:ind w:firstLine="840"/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>曹立新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     </w:t>
      </w: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902" w:tblpY="472"/>
        <w:tblOverlap w:val="never"/>
        <w:tblW w:w="88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919"/>
        <w:gridCol w:w="1785"/>
        <w:gridCol w:w="1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 色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  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 xml:space="preserve">市射箭比赛男子组、女子组两个团体第一名； 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门卫徐建方到期辞退，新聘两名门卫；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安全教育信息化平台应用操作培训；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 xml:space="preserve">收缴学生教辅用书费用； 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男教工羽毛球比赛；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一年级学生体检；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处理好学生孙月事故的赔偿。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召开五年级学生家长会；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协助处理五年级学生摔伤事故。</w:t>
            </w: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72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72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  <w:t>下月重点工作</w:t>
            </w:r>
          </w:p>
        </w:tc>
        <w:tc>
          <w:tcPr>
            <w:tcW w:w="72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上报学校2017年工会总结；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组织元旦辞旧迎新工会活动；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办理学生孙月事故的保险赔付；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组织女教师冬季踢跳比赛；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做好困难职工帮困互济会会费的申报工作。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 黄晓东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后勤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  <w:lang w:val="en-US" w:eastAsia="zh-CN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12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1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both"/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黄晓东</w:t>
      </w:r>
      <w:r>
        <w:rPr>
          <w:kern w:val="0"/>
          <w:sz w:val="24"/>
          <w:u w:val="single"/>
        </w:rPr>
        <w:t xml:space="preserve">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</w:t>
      </w:r>
    </w:p>
    <w:p/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208"/>
        <w:gridCol w:w="1609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1.组织二至六年级语数英期中分析性检测。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2.为一年级新生及新转进学生拍摄学籍照片并完成导入。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3.组队参加江苏省蝴蝶大赛。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4.新教师（杜丹、王端、许卓群）教师资格证网上注册。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5.参加省车辆模型比赛。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能按规范的流程完成各项工作的准备和上报工作。</w:t>
            </w: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各种任务要分配到每个人，并细致指导方法。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1.音乐组区教研员来校调研。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2.带领二年级进行评价改革和作业改革。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3.蹲点年级听课2节。其他年级听课2节。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参加省车辆模型比赛获小学女子组团体二等奖，小学男子组团体三等奖。</w:t>
            </w: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提前规划好比赛项目。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sz w:val="22"/>
                <w:szCs w:val="22"/>
              </w:rPr>
              <w:t>能主动参与到学校的各项工作中，</w:t>
            </w:r>
            <w:r>
              <w:rPr>
                <w:rFonts w:hint="eastAsia"/>
                <w:sz w:val="22"/>
                <w:szCs w:val="22"/>
                <w:lang w:eastAsia="zh-CN"/>
              </w:rPr>
              <w:t>做好</w:t>
            </w:r>
            <w:r>
              <w:rPr>
                <w:rFonts w:hint="eastAsia"/>
                <w:sz w:val="22"/>
                <w:szCs w:val="22"/>
              </w:rPr>
              <w:t>自己的分管工作，提前思考布置相关工作。撰写通讯报道1篇，完成学校其他通讯报道的上传。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sz w:val="22"/>
                <w:szCs w:val="22"/>
              </w:rPr>
              <w:t>任何事情都要及早做好策划，考虑各种方案要更加细致、全面。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重点工作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1.迎接区管理规范督查。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2.迎接市区小学部分学科质量随机调研。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3.组织学生参加网络信息安全知识竞赛。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4.推进省十三五课题《小学“长江生态文明”主题课程开发研究》。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姓名：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CN"/>
        </w:rPr>
        <w:t>刘小峰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分管工作：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CN"/>
        </w:rPr>
        <w:t>教导处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填表日期：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27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刘小峰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     </w:t>
      </w:r>
    </w:p>
    <w:p/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902" w:tblpY="472"/>
        <w:tblOverlap w:val="never"/>
        <w:tblW w:w="10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919"/>
        <w:gridCol w:w="2688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 色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  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1.组织青年语文教师参加区评优课比赛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做好期中质量抽测、反思工作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开展读书节系列活动之低年级讲故事比赛、高年级汉字听写大赛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4.组织新进教师区级培训活动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5.组织教师参加各类培训，组织2014年新教师积极参加三年成长展示活动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6.完成11月份的月考核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  <w:t>宣传力度不够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组织了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1次教研活动，1次集体备课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组织1次写字验收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3.邀请朱洁茹老师指导中年级语文校本教研活动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阅读理论书籍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4本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2.积极参加区语文评优课比赛,获得晋级的机会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区竞赛没能进入第三轮，解读教材的能力和设计能力还有待提升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8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撰写通讯报道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3篇，其中自己撰写1篇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8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工作能提前规划，工作中遇到问题能听取多方建议，及时调整、完善，不懂就问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  <w:t>下月重点工作</w:t>
            </w:r>
          </w:p>
        </w:tc>
        <w:tc>
          <w:tcPr>
            <w:tcW w:w="8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1.完成12月份月考核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2.迎接区管理规范督查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迎接市区部分学科质量随机调研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低年级开展语文教研活动，并邀请专家指导。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组织语文老师尤其是年轻老师积极参加省“蓝天杯”教学设计评比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王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红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梅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/>
        </w:rPr>
        <w:t>教导处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  <w:lang w:val="en-US" w:eastAsia="zh-CN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11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29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王红梅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902" w:tblpY="472"/>
        <w:tblOverlap w:val="never"/>
        <w:tblW w:w="10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919"/>
        <w:gridCol w:w="2688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 色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  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分管行政工作</w:t>
            </w:r>
          </w:p>
          <w:p>
            <w:pPr>
              <w:keepNext w:val="0"/>
              <w:keepLines w:val="0"/>
              <w:pageBreakBefore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上交区关工委材料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四五年级家长会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参加市、区级课题组会议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参与首届“锡剧节”活动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参加文化特色展评活动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“班主任考核”整改工作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评选“班级和乐娃”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协调“女童保护”公益讲座活动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协调“和之韵”校报29期收集制作工作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1.分管学科：数学组各项工作有序开展，完成并上交“长江生态文明”课题学科渗透教案设计，完成两次理论学习、公开课研讨。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2.六年级：走进一位英语老师，两位数学老师课堂学习。期中反馈语数英平均差距缩小。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数学组理论培训的备课组长、上研讨课的老师都能精心准备。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六年级所有任课老师都很认真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1.期中练习成绩还算理想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2.到扬州学习，感受大师风采，对课堂、对解读文本有了进一步的领悟</w:t>
            </w:r>
          </w:p>
        </w:tc>
        <w:tc>
          <w:tcPr>
            <w:tcW w:w="2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8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  <w:t>四五年级在刘小丽、陈亚两位年级组长的统筹安排下，家长会各项工作有条不紊，会后报道工作及时。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  <w:t>“班主任考核”每月抽查不同班级，全面调研学生“成长册”完成情况，分散了工作的量，但提高了工作的质。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8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提前思考，细致规划，深入反思，下次更好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  <w:t>下月重点工作</w:t>
            </w:r>
          </w:p>
        </w:tc>
        <w:tc>
          <w:tcPr>
            <w:tcW w:w="8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1.三年级家长会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2.“女童保护”公益讲座继续时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3.参加十三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五课题组相关工作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组织2017年度中小学班主任（德育）论文评选活动。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组织“12.4”普法宣传活动。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6.“班主任考核”、“和乐娃评选”。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张小玲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/>
        </w:rPr>
        <w:t>德育处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  <w:lang w:val="en-US" w:eastAsia="zh-CN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11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30</w:t>
      </w:r>
      <w:r>
        <w:rPr>
          <w:kern w:val="0"/>
          <w:sz w:val="24"/>
          <w:u w:val="singl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张小玲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p>
      <w:pPr>
        <w:autoSpaceDE w:val="0"/>
        <w:autoSpaceDN w:val="0"/>
        <w:adjustRightInd w:val="0"/>
        <w:jc w:val="both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  <w:lang w:val="zh-CN"/>
        </w:rPr>
        <w:t>王赛男</w:t>
      </w:r>
      <w:r>
        <w:rPr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val="zh-CN"/>
        </w:rPr>
        <w:t>少先队</w:t>
      </w:r>
      <w:r>
        <w:rPr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  <w:lang w:val="en-US" w:eastAsia="zh-CN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11</w:t>
      </w:r>
      <w:r>
        <w:rPr>
          <w:kern w:val="0"/>
          <w:sz w:val="24"/>
          <w:u w:val="single"/>
        </w:rPr>
        <w:t>.3</w:t>
      </w:r>
      <w:r>
        <w:rPr>
          <w:rFonts w:hint="eastAsia"/>
          <w:kern w:val="0"/>
          <w:sz w:val="24"/>
          <w:u w:val="single"/>
          <w:lang w:val="en-US" w:eastAsia="zh-CN"/>
        </w:rPr>
        <w:t>0</w:t>
      </w:r>
      <w:r>
        <w:rPr>
          <w:kern w:val="0"/>
          <w:sz w:val="24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83"/>
        <w:gridCol w:w="1829"/>
        <w:gridCol w:w="2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协调锡剧节汇报演出各项事宜，撰写总结材料。组织小记者撰写文章，发一个版面。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上报少先队常规督查材料，上交“新北区少先队‘火炬工程’优秀红领巾小社团”、“优秀少先队活动”评比材料。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参加区校园文化建设汇报。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开展2018年度上半年队报队刊征订工作。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每周一中午召开红领巾值周岗例会，进行问题汇报与奖励等，并于隔天夕会课时间对前一天值周情况进行汇总反馈。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组织射箭小记者撰写文章发常州晚报。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前往常熟参加少先队年会。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8.做好常规升旗仪式工作、黑板报评比等。</w:t>
            </w: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红领巾值周岗虽花费不少精力，可依旧暴露出很多问题。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蹲点四年级教育，每天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  <w:t>至少一次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（早晨、午间、下班前）巡查四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  <w:t>年级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各个班级。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1.一篇论文获江苏省“五四杯”教学研究论文评比二等奖。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2.一篇论文获江苏省少先队论文一等奖。</w:t>
            </w: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做一个勤奋的教师——勤反思、勤练笔、勤学习。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撰写报道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2篇。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开展工作要巧用资源，灵活变通，多一分沟通协调。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一项活动从开展到结束，要尤其重视活动评价。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下月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重点工作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1.撰写少先队年度工作总结，参加片区少先队年度总结交流会。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2.做好常规督导相关材料准备工作。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王赛男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     </w:t>
      </w:r>
    </w:p>
    <w:p/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圩塘中心小学</w:t>
      </w:r>
      <w:r>
        <w:rPr>
          <w:rFonts w:hint="eastAsia"/>
          <w:b/>
          <w:bCs/>
          <w:sz w:val="36"/>
        </w:rPr>
        <w:t>201</w:t>
      </w:r>
      <w:r>
        <w:rPr>
          <w:rFonts w:hint="eastAsia"/>
          <w:b/>
          <w:bCs/>
          <w:sz w:val="36"/>
          <w:lang w:val="en-US" w:eastAsia="zh-CN"/>
        </w:rPr>
        <w:t>7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val="en-US" w:eastAsia="zh-CN"/>
        </w:rPr>
        <w:t>11</w:t>
      </w:r>
      <w:r>
        <w:rPr>
          <w:rFonts w:hint="eastAsia"/>
          <w:b/>
          <w:bCs/>
          <w:sz w:val="36"/>
        </w:rPr>
        <w:t>月份行政工作概况表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  <w:lang w:val="en-US" w:eastAsia="zh-CN"/>
        </w:rPr>
        <w:t xml:space="preserve">顾华杰 </w:t>
      </w:r>
      <w:r>
        <w:rPr>
          <w:rFonts w:hint="eastAsia"/>
          <w:sz w:val="28"/>
        </w:rPr>
        <w:t>分管工作：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  <w:lang w:eastAsia="zh-CN"/>
        </w:rPr>
        <w:t>总务后勤</w:t>
      </w:r>
      <w:r>
        <w:rPr>
          <w:rFonts w:hint="eastAsia"/>
          <w:sz w:val="28"/>
          <w:u w:val="single" w:color="auto"/>
          <w:lang w:val="en-US" w:eastAsia="zh-CN"/>
        </w:rPr>
        <w:t xml:space="preserve">    </w:t>
      </w:r>
      <w:r>
        <w:rPr>
          <w:rFonts w:hint="eastAsia"/>
          <w:sz w:val="28"/>
        </w:rPr>
        <w:t>填表日期：</w:t>
      </w:r>
      <w:r>
        <w:rPr>
          <w:rFonts w:hint="eastAsia"/>
          <w:sz w:val="28"/>
          <w:u w:val="single" w:color="auto"/>
        </w:rPr>
        <w:t>201</w:t>
      </w:r>
      <w:r>
        <w:rPr>
          <w:rFonts w:hint="eastAsia"/>
          <w:sz w:val="28"/>
          <w:u w:val="single" w:color="auto"/>
          <w:lang w:val="en-US" w:eastAsia="zh-CN"/>
        </w:rPr>
        <w:t>7</w:t>
      </w:r>
      <w:r>
        <w:rPr>
          <w:rFonts w:hint="eastAsia"/>
          <w:sz w:val="28"/>
          <w:u w:val="single" w:color="auto"/>
        </w:rPr>
        <w:t>.</w:t>
      </w:r>
      <w:r>
        <w:rPr>
          <w:rFonts w:hint="eastAsia"/>
          <w:sz w:val="28"/>
          <w:u w:val="single" w:color="auto"/>
          <w:lang w:val="en-US" w:eastAsia="zh-CN"/>
        </w:rPr>
        <w:t xml:space="preserve"> 11     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617"/>
        <w:gridCol w:w="114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36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成绩（及荣誉）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   色</w:t>
            </w:r>
          </w:p>
        </w:tc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分管行政工作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0"/>
              </w:rPr>
            </w:pPr>
          </w:p>
        </w:tc>
        <w:tc>
          <w:tcPr>
            <w:tcW w:w="361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1.组织五年级学生参加《避险应急 安全救护》科普活动。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2.做好锡剧节相关辅助工作。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3.组织全校师生参与“119”消防逃生演练。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4.做好2018年基建项目的相关申报工作。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5.完成学校的网络改造工程。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6.做好2017年基建装备的验收、结算等工作。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7.做好教辅、助学读物的收费相关工作。8.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做好学校设施设备的检查、维护、维修、更换等工作，确保学校的正常教育教学。</w:t>
            </w: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督促检查的力度还不够，校园卫生、教室卫生状况不容乐观。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分管学科或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蹲点</w:t>
            </w:r>
            <w:r>
              <w:rPr>
                <w:rFonts w:hint="eastAsia" w:ascii="宋体" w:hAnsi="宋体"/>
                <w:sz w:val="20"/>
              </w:rPr>
              <w:t>年级工作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本月二年级的物品摆放、学生常规较好。</w:t>
            </w: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细节问题：</w:t>
            </w:r>
          </w:p>
          <w:p>
            <w:pPr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图书柜顶、清洁用品要整理。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任教学科与个人发展情况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（学习论文荣誉等）</w:t>
            </w:r>
          </w:p>
        </w:tc>
        <w:tc>
          <w:tcPr>
            <w:tcW w:w="3617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本月工作亮点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（含通讯报道情况）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消防逃生演练报道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重阳节活动报道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主要工作经验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下月重点工作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1.继续做好学校设施设备的检查、维护、维修、更换等工作，确保学校的正常教育教学。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2.做好校园清洁卫生工作。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3.做好新进资产的登记工作。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4.做好假前安全检查工作。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5.做好校冬季运动会的服务工作。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6.准备迎接区常规检查。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firstLine="840" w:firstLineChars="300"/>
        <w:rPr>
          <w:rFonts w:hint="eastAsia"/>
          <w:sz w:val="28"/>
        </w:rPr>
      </w:pPr>
    </w:p>
    <w:p>
      <w:pPr>
        <w:ind w:firstLine="840" w:firstLineChars="300"/>
        <w:rPr>
          <w:rFonts w:hint="eastAsia" w:eastAsia="宋体"/>
          <w:sz w:val="28"/>
          <w:u w:val="none" w:color="auto"/>
          <w:lang w:val="en-US" w:eastAsia="zh-CN"/>
        </w:rPr>
      </w:pPr>
      <w:r>
        <w:rPr>
          <w:rFonts w:hint="eastAsia"/>
          <w:sz w:val="28"/>
        </w:rPr>
        <w:t>填表人：__</w:t>
      </w:r>
      <w:r>
        <w:rPr>
          <w:rFonts w:hint="eastAsia"/>
          <w:sz w:val="28"/>
          <w:lang w:val="en-US" w:eastAsia="zh-CN"/>
        </w:rPr>
        <w:t>顾华杰</w:t>
      </w:r>
      <w:r>
        <w:rPr>
          <w:rFonts w:hint="eastAsia"/>
          <w:sz w:val="28"/>
          <w:u w:val="single" w:color="auto"/>
        </w:rPr>
        <w:t xml:space="preserve">  </w:t>
      </w:r>
      <w:r>
        <w:rPr>
          <w:rFonts w:hint="eastAsia"/>
          <w:sz w:val="28"/>
        </w:rPr>
        <w:t xml:space="preserve">    校长（签名）</w:t>
      </w:r>
      <w:r>
        <w:rPr>
          <w:rFonts w:hint="eastAsia"/>
          <w:sz w:val="28"/>
          <w:u w:val="single"/>
        </w:rPr>
        <w:t xml:space="preserve">             </w:t>
      </w: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902" w:tblpY="472"/>
        <w:tblOverlap w:val="never"/>
        <w:tblW w:w="9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919"/>
        <w:gridCol w:w="1650"/>
        <w:gridCol w:w="1920"/>
      </w:tblGrid>
      <w:tr>
        <w:tblPrEx>
          <w:tblLayout w:type="fixed"/>
        </w:tblPrEx>
        <w:trPr>
          <w:trHeight w:val="49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 色</w:t>
            </w: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  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pStyle w:val="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参加市射箭比赛获市男子女子两项团体冠军。</w:t>
            </w:r>
          </w:p>
          <w:p>
            <w:pPr>
              <w:pStyle w:val="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上报全校学生体质健康测试数据。</w:t>
            </w:r>
          </w:p>
          <w:p>
            <w:pPr>
              <w:pStyle w:val="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选拔新一届射箭队队员。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分管学科或蹲点年级工作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pStyle w:val="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选拔校田径队队员。</w:t>
            </w:r>
          </w:p>
          <w:p>
            <w:pPr>
              <w:pStyle w:val="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加强校踢毽队训练准备参加区比赛。</w:t>
            </w:r>
          </w:p>
          <w:p>
            <w:pPr>
              <w:pStyle w:val="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下发校冬季运动会规程。</w:t>
            </w: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任教学科与个人发展情况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本月工作亮点</w:t>
            </w:r>
          </w:p>
        </w:tc>
        <w:tc>
          <w:tcPr>
            <w:tcW w:w="748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主要工作经验</w:t>
            </w:r>
          </w:p>
        </w:tc>
        <w:tc>
          <w:tcPr>
            <w:tcW w:w="748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下月重点工作</w:t>
            </w:r>
          </w:p>
        </w:tc>
        <w:tc>
          <w:tcPr>
            <w:tcW w:w="748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1、校踢毽队参加区比赛。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2、校田径队正常训练。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3、校射箭队正常训练。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4、举行校冬季运动会。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/>
        </w:rPr>
        <w:t>冯 炜</w:t>
      </w:r>
      <w:r>
        <w:rPr>
          <w:rFonts w:hint="eastAsia" w:ascii="宋体" w:cs="宋体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/>
        </w:rPr>
        <w:t>体育后勤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</w:rPr>
        <w:t>11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</w:rPr>
        <w:t>30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rFonts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>冯炜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/>
          <w:kern w:val="0"/>
          <w:sz w:val="28"/>
          <w:szCs w:val="28"/>
          <w:u w:val="single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陈建良     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财务人事   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  <w:u w:val="single"/>
        </w:rPr>
        <w:t>201</w:t>
      </w:r>
      <w:r>
        <w:rPr>
          <w:rFonts w:hint="eastAsia"/>
          <w:kern w:val="0"/>
          <w:sz w:val="28"/>
          <w:szCs w:val="28"/>
          <w:u w:val="single"/>
        </w:rPr>
        <w:t>7</w:t>
      </w:r>
      <w:r>
        <w:rPr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</w:rPr>
        <w:t>12.1</w:t>
      </w:r>
    </w:p>
    <w:p>
      <w:pPr>
        <w:autoSpaceDE w:val="0"/>
        <w:autoSpaceDN w:val="0"/>
        <w:adjustRightInd w:val="0"/>
        <w:spacing w:line="360" w:lineRule="exact"/>
        <w:rPr>
          <w:rFonts w:hint="eastAsia"/>
          <w:kern w:val="0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1905" w:tblpY="158"/>
        <w:tblOverlap w:val="never"/>
        <w:tblW w:w="8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091"/>
        <w:gridCol w:w="834"/>
        <w:gridCol w:w="1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特色</w:t>
            </w:r>
          </w:p>
        </w:tc>
        <w:tc>
          <w:tcPr>
            <w:tcW w:w="1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完成教师住房补贴和新职工住房补贴调整工作.</w:t>
            </w:r>
          </w:p>
          <w:p>
            <w:pPr>
              <w:pStyle w:val="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人事统计表纸质稿上交.</w:t>
            </w:r>
          </w:p>
          <w:p>
            <w:pPr>
              <w:pStyle w:val="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调整公办教师交通补贴费.</w:t>
            </w:r>
          </w:p>
          <w:p>
            <w:pPr>
              <w:pStyle w:val="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完成《事业单位信用评价》网上申报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能及时准确完成各项工作</w:t>
            </w:r>
          </w:p>
        </w:tc>
        <w:tc>
          <w:tcPr>
            <w:tcW w:w="1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业务能力还有待提高.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分管学科或蹲点年级工作</w:t>
            </w: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五年级老师都很自觉，教育教学抓得很紧，时刻不放松。教学常规较好。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任教学科与个人发展情况</w:t>
            </w: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期中测试成绩一般，欣喜的是及格率百分之百。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学生的补缺补差还有待提高。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本月工作亮点</w:t>
            </w:r>
          </w:p>
        </w:tc>
        <w:tc>
          <w:tcPr>
            <w:tcW w:w="74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2"/>
              <w:ind w:firstLine="840" w:firstLineChars="350"/>
              <w:rPr>
                <w:kern w:val="0"/>
                <w:lang w:val="zh-CN"/>
              </w:rPr>
            </w:pPr>
            <w:r>
              <w:rPr>
                <w:rFonts w:hint="eastAsia"/>
                <w:kern w:val="0"/>
                <w:lang w:val="zh-CN"/>
              </w:rPr>
              <w:t>基本完成各项工作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主要工作经验</w:t>
            </w:r>
          </w:p>
        </w:tc>
        <w:tc>
          <w:tcPr>
            <w:tcW w:w="74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autoSpaceDE w:val="0"/>
              <w:autoSpaceDN w:val="0"/>
              <w:adjustRightInd w:val="0"/>
              <w:spacing w:line="360" w:lineRule="exact"/>
              <w:ind w:left="1035" w:firstLine="0" w:firstLineChars="0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重点工作</w:t>
            </w:r>
          </w:p>
        </w:tc>
        <w:tc>
          <w:tcPr>
            <w:tcW w:w="74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="1080" w:leftChars="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做好年终相关结算工作。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="1080" w:left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做好年终各类报表的统计工作。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u w:val="single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填表人：</w:t>
      </w:r>
      <w:r>
        <w:rPr>
          <w:rFonts w:hint="eastAsia"/>
          <w:kern w:val="0"/>
          <w:sz w:val="28"/>
          <w:szCs w:val="28"/>
          <w:u w:val="single"/>
        </w:rPr>
        <w:t xml:space="preserve">陈建良          </w:t>
      </w:r>
      <w:r>
        <w:rPr>
          <w:rFonts w:hint="eastAsia" w:ascii="宋体" w:cs="宋体"/>
          <w:kern w:val="0"/>
          <w:sz w:val="28"/>
          <w:szCs w:val="28"/>
          <w:lang w:val="zh-CN"/>
        </w:rPr>
        <w:t>校长（签名）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ascii="宋体" w:cs="宋体"/>
          <w:b/>
          <w:bCs/>
          <w:kern w:val="0"/>
          <w:sz w:val="36"/>
          <w:szCs w:val="36"/>
          <w:lang w:val="zh-CN"/>
        </w:rPr>
        <w:t>11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459"/>
        <w:gridCol w:w="1363"/>
        <w:gridCol w:w="1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成绩（及荣誉）</w:t>
            </w: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特色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认真完成每月现金日记账的登记工作，及时转账。协助会计做好审核工作。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协助完成教辅材料的收费工作。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细心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分管学科或蹲点年级工作</w:t>
            </w: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每周多次巡视三年级各班，关注班级卫生、物品摆放、学生常规。发现问题及时与年级组长沟通，并做好跟进工作。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关注大屏幕发布内容，及时发布各项通知标语等，认真协调沟通。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沟通协调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不能做到每天一巡视。大屏幕的关注度不高。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任教学科与个人发展情况</w:t>
            </w: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关注后进生，与家长沟通协商，中午为孩子进行补习。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关注学生的书写和自主阅读习惯的养成，做好新书借阅工作。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耐心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学生的书写有所提高。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阅读兴致高。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本月工作亮点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主要工作经验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认认真真、踏踏实实，虚心请教。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重点工作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及时登记现金日记电子账册，及时转账。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加强分管年级的巡视。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加强大屏幕的关注。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加强学生阅读能力的培养。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完成报刊收费工作。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张迎枫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现金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  <w:u w:val="single"/>
        </w:rPr>
        <w:t>2017.12.1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8"/>
          <w:szCs w:val="28"/>
          <w:u w:val="single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填表人：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>张迎枫</w:t>
      </w:r>
      <w:r>
        <w:rPr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kern w:val="0"/>
          <w:sz w:val="28"/>
          <w:szCs w:val="28"/>
          <w:lang w:val="zh-CN"/>
        </w:rPr>
        <w:t>校长（签名）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kern w:val="0"/>
          <w:sz w:val="24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wis721 BlkCn BT">
    <w:altName w:val="Segoe Print"/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Swis721 Ex BT">
    <w:altName w:val="Segoe Print"/>
    <w:panose1 w:val="020B0605020202020204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necticut">
    <w:altName w:val="Mongolian Baiti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O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PT Utah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30A"/>
    <w:multiLevelType w:val="multilevel"/>
    <w:tmpl w:val="1E08630A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1C1AB"/>
    <w:multiLevelType w:val="singleLevel"/>
    <w:tmpl w:val="5811C1AB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11C25E"/>
    <w:multiLevelType w:val="singleLevel"/>
    <w:tmpl w:val="5811C25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11C331"/>
    <w:multiLevelType w:val="singleLevel"/>
    <w:tmpl w:val="5811C331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43CECA"/>
    <w:multiLevelType w:val="singleLevel"/>
    <w:tmpl w:val="5843CECA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DCA309"/>
    <w:multiLevelType w:val="singleLevel"/>
    <w:tmpl w:val="58DCA309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FEEEA4"/>
    <w:multiLevelType w:val="singleLevel"/>
    <w:tmpl w:val="58FEEEA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9316AF1"/>
    <w:multiLevelType w:val="singleLevel"/>
    <w:tmpl w:val="59316AF1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9FC24CA"/>
    <w:multiLevelType w:val="singleLevel"/>
    <w:tmpl w:val="59FC24CA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9FC2918"/>
    <w:multiLevelType w:val="singleLevel"/>
    <w:tmpl w:val="59FC2918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A0100AF"/>
    <w:multiLevelType w:val="singleLevel"/>
    <w:tmpl w:val="5A0100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1F999A"/>
    <w:multiLevelType w:val="singleLevel"/>
    <w:tmpl w:val="5A1F999A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A1F9CD8"/>
    <w:multiLevelType w:val="singleLevel"/>
    <w:tmpl w:val="5A1F9CD8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A20EF45"/>
    <w:multiLevelType w:val="singleLevel"/>
    <w:tmpl w:val="5A20EF45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A20F0D8"/>
    <w:multiLevelType w:val="singleLevel"/>
    <w:tmpl w:val="5A20F0D8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A20F1A5"/>
    <w:multiLevelType w:val="singleLevel"/>
    <w:tmpl w:val="5A20F1A5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6F12607D"/>
    <w:multiLevelType w:val="multilevel"/>
    <w:tmpl w:val="6F1260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7D7D4D"/>
    <w:multiLevelType w:val="multilevel"/>
    <w:tmpl w:val="757D7D4D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7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33C1"/>
    <w:rsid w:val="022E68BA"/>
    <w:rsid w:val="03F962E4"/>
    <w:rsid w:val="061C4EC3"/>
    <w:rsid w:val="06E74568"/>
    <w:rsid w:val="09901DBF"/>
    <w:rsid w:val="0DE873EB"/>
    <w:rsid w:val="106E476D"/>
    <w:rsid w:val="10CF6A79"/>
    <w:rsid w:val="12083DAB"/>
    <w:rsid w:val="1835187E"/>
    <w:rsid w:val="19FF170A"/>
    <w:rsid w:val="1CB7739F"/>
    <w:rsid w:val="1D674793"/>
    <w:rsid w:val="1E460D65"/>
    <w:rsid w:val="1E65503C"/>
    <w:rsid w:val="20605F01"/>
    <w:rsid w:val="217D606E"/>
    <w:rsid w:val="219C58A9"/>
    <w:rsid w:val="2626068F"/>
    <w:rsid w:val="29B90054"/>
    <w:rsid w:val="2C0C5D07"/>
    <w:rsid w:val="2E9278BF"/>
    <w:rsid w:val="2FEF4151"/>
    <w:rsid w:val="379F03E9"/>
    <w:rsid w:val="3BA43837"/>
    <w:rsid w:val="3D002FCC"/>
    <w:rsid w:val="3FDA7D87"/>
    <w:rsid w:val="489375FD"/>
    <w:rsid w:val="48AB61D2"/>
    <w:rsid w:val="4D163E8A"/>
    <w:rsid w:val="4DFB5A1E"/>
    <w:rsid w:val="51EB4B6B"/>
    <w:rsid w:val="53BA1092"/>
    <w:rsid w:val="5878215F"/>
    <w:rsid w:val="58BE6D8B"/>
    <w:rsid w:val="5E013B7D"/>
    <w:rsid w:val="5FC223E8"/>
    <w:rsid w:val="62815DD7"/>
    <w:rsid w:val="633A7B86"/>
    <w:rsid w:val="64CD35EF"/>
    <w:rsid w:val="667B179B"/>
    <w:rsid w:val="67F7477D"/>
    <w:rsid w:val="6A924FE4"/>
    <w:rsid w:val="6B2B518C"/>
    <w:rsid w:val="6C225A4B"/>
    <w:rsid w:val="6CEC73FC"/>
    <w:rsid w:val="6FE74555"/>
    <w:rsid w:val="6FEF09E0"/>
    <w:rsid w:val="70110509"/>
    <w:rsid w:val="70757903"/>
    <w:rsid w:val="722A708A"/>
    <w:rsid w:val="75386A7A"/>
    <w:rsid w:val="76BC7C77"/>
    <w:rsid w:val="781B5000"/>
    <w:rsid w:val="7AF92EDA"/>
    <w:rsid w:val="7DAE5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wzl</dc:creator>
  <cp:lastModifiedBy>心艮</cp:lastModifiedBy>
  <dcterms:modified xsi:type="dcterms:W3CDTF">2017-12-01T08:56:19Z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