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07" w:rsidRDefault="00882694" w:rsidP="00882694">
      <w:pPr>
        <w:jc w:val="center"/>
      </w:pPr>
      <w:bookmarkStart w:id="0" w:name="_GoBack"/>
      <w:r w:rsidRPr="004B0B0A">
        <w:rPr>
          <w:rFonts w:ascii="黑体" w:eastAsia="黑体" w:hAnsi="黑体" w:hint="eastAsia"/>
          <w:b/>
          <w:sz w:val="32"/>
        </w:rPr>
        <w:t>2017年常州市数字化学习交流研讨暨数字化学习课堂教学展评颁奖活动</w:t>
      </w:r>
      <w:r>
        <w:rPr>
          <w:rFonts w:ascii="黑体" w:eastAsia="黑体" w:hAnsi="黑体" w:hint="eastAsia"/>
          <w:b/>
          <w:sz w:val="32"/>
        </w:rPr>
        <w:t>参加学校名单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bookmarkEnd w:id="0"/>
          <w:p w:rsidR="00882694" w:rsidRPr="00882694" w:rsidRDefault="00882694" w:rsidP="00882694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初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  <w:t xml:space="preserve">  </w:t>
            </w: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中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武进区湖塘桥初级中学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武进区湖塘实验中学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堰实验中学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常州市潞城中学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常州市新北区龙虎塘中学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常州市新闸中学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常州外国语学校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常州市勤业中学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常州市北环中学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常州市实验初级中学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常州市第二十四中学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北实验初级中学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常州西藏民族中学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常州市北郊初级中学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常州市朝阳中学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常州市田家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常州市花园中学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常州市丽华中学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常州市兰陵中学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</w:pP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小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  <w:t xml:space="preserve">   </w:t>
            </w: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溧阳市外国语学校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城中心小学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溧阳市第二实验小学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溧阳市文化小学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埭头中心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溧阳市竹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箦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市别桥中心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金坛区城西小学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金坛区薛埠中心小学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金塔区指前实验学校（小学部）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金坛市河头小学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金坛区华罗庚实验学校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武进区湖塘桥中心小学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武进清英外国语学校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武进区湖塘桥实验小学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武进区星河小学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武进区卢家巷实验学校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湟里中心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武进区礼河实验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武进区夏溪小学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武进区南夏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常州市潞城小学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堰东方小学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常州市新北区三井实验小学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新北区龙虎塘实验小学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新北区奔牛实验小学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新北区新桥实验小学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新北区汤庄桥小学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新北区万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绥小学</w:t>
            </w:r>
            <w:proofErr w:type="gramEnd"/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常州市局前街小学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常州市北郊小学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常州市武进区东青实验学校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常州市博爱教育集团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常州市兰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陵小学</w:t>
            </w:r>
            <w:proofErr w:type="gramEnd"/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常州市丽华新村第二小学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常州市北环路小学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常州市第二实验小学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常州市解放路小学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市虹景小学</w:t>
            </w:r>
            <w:proofErr w:type="gramEnd"/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常州市朝阳新村第二小学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市雕庄中心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郑陆中心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常州市觅渡桥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常州市实验小学教育集团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常州西新桥实验小学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常州市盛毓度小学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常州市钟楼实验小学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常州市怀德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苑小学</w:t>
            </w:r>
            <w:proofErr w:type="gramEnd"/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常州市花园小学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常州市勤业小学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常州市清潭实验小学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常州市五星实验小学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常州市聋哑学校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</w:pPr>
            <w:proofErr w:type="gramStart"/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幼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  <w:t xml:space="preserve"> </w:t>
            </w: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儿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  <w:t xml:space="preserve"> </w:t>
            </w:r>
            <w:r w:rsidRPr="00882694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溧阳市东升实验幼儿园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溧阳市昆仑实验幼儿园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武进区机关幼儿园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堰区幼儿园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堰潞城幼儿园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常州市新北区银河幼儿园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常州市青龙中心幼儿园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常州市钟楼区勤业新村幼儿园</w:t>
            </w:r>
          </w:p>
        </w:tc>
      </w:tr>
      <w:tr w:rsidR="00882694" w:rsidRPr="00882694" w:rsidTr="00882694">
        <w:trPr>
          <w:trHeight w:val="465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常州市鸣</w:t>
            </w:r>
            <w:proofErr w:type="gramStart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珂</w:t>
            </w:r>
            <w:proofErr w:type="gramEnd"/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巷幼儿园</w:t>
            </w:r>
          </w:p>
        </w:tc>
      </w:tr>
      <w:tr w:rsidR="00882694" w:rsidRPr="00882694" w:rsidTr="00882694">
        <w:trPr>
          <w:trHeight w:val="480"/>
        </w:trPr>
        <w:tc>
          <w:tcPr>
            <w:tcW w:w="8500" w:type="dxa"/>
            <w:noWrap/>
            <w:hideMark/>
          </w:tcPr>
          <w:p w:rsidR="00882694" w:rsidRPr="00882694" w:rsidRDefault="00882694" w:rsidP="008826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826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钟楼区早期教育指导中心</w:t>
            </w:r>
          </w:p>
        </w:tc>
      </w:tr>
    </w:tbl>
    <w:p w:rsidR="00882694" w:rsidRPr="00882694" w:rsidRDefault="00882694" w:rsidP="00882694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882694" w:rsidRPr="0088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4"/>
    <w:rsid w:val="001A0E07"/>
    <w:rsid w:val="00882694"/>
    <w:rsid w:val="00A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60B"/>
  <w15:chartTrackingRefBased/>
  <w15:docId w15:val="{C697A8E2-3AFD-45C5-AD25-4A4E7BA3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2017-12-13T06:23:00Z</dcterms:created>
  <dcterms:modified xsi:type="dcterms:W3CDTF">2017-12-13T06:26:00Z</dcterms:modified>
</cp:coreProperties>
</file>