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06E2" w:rsidRDefault="008706E2">
      <w:pPr>
        <w:widowControl/>
        <w:spacing w:line="480" w:lineRule="auto"/>
        <w:jc w:val="center"/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春江中心小学主题课程建设沙龙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699"/>
        <w:gridCol w:w="1030"/>
        <w:gridCol w:w="3082"/>
        <w:gridCol w:w="1263"/>
        <w:gridCol w:w="3777"/>
      </w:tblGrid>
      <w:tr w:rsidR="008706E2" w:rsidRPr="001F01E3"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二年级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孙晓庆</w:t>
            </w:r>
          </w:p>
        </w:tc>
      </w:tr>
      <w:tr w:rsidR="008706E2" w:rsidRPr="001F01E3"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Pr="00797E1F" w:rsidRDefault="008706E2" w:rsidP="008706E2">
            <w:pPr>
              <w:widowControl/>
              <w:adjustRightInd w:val="0"/>
              <w:snapToGrid w:val="0"/>
              <w:spacing w:line="300" w:lineRule="auto"/>
              <w:ind w:left="31680" w:hangingChars="50" w:firstLine="31680"/>
              <w:jc w:val="left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  <w:r w:rsidRPr="00797E1F">
              <w:rPr>
                <w:rFonts w:ascii="Times New Roman" w:hAnsi="Times New Roman" w:hint="eastAsia"/>
                <w:color w:val="000000"/>
                <w:kern w:val="0"/>
                <w:sz w:val="24"/>
              </w:rPr>
              <w:t>倪元芬、蔡春花、闵旭颖、杨吉娣、孙晓庆、卜娟、袁婷、孙心慧、蒋慧莲、肖悦、施忠利、沈安妮、黄雯君、朱海琳</w:t>
            </w:r>
          </w:p>
        </w:tc>
      </w:tr>
      <w:tr w:rsidR="008706E2" w:rsidRPr="001F01E3">
        <w:trPr>
          <w:trHeight w:val="634"/>
        </w:trPr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课程整合的思考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（以课例的形式呈现）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Pr="00F22D2E" w:rsidRDefault="008706E2">
            <w:pPr>
              <w:widowControl/>
              <w:spacing w:line="480" w:lineRule="auto"/>
              <w:jc w:val="left"/>
              <w:rPr>
                <w:rFonts w:ascii="Times New Roman" w:hAnsi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 </w:t>
            </w:r>
            <w:r w:rsidRPr="00F22D2E">
              <w:rPr>
                <w:rFonts w:ascii="Times New Roman" w:hAnsi="Times New Roman" w:hint="eastAsia"/>
                <w:b/>
                <w:color w:val="000000"/>
                <w:kern w:val="0"/>
                <w:sz w:val="28"/>
                <w:szCs w:val="28"/>
              </w:rPr>
              <w:t>巧手绘秋韵</w:t>
            </w:r>
          </w:p>
        </w:tc>
      </w:tr>
      <w:tr w:rsidR="008706E2" w:rsidRPr="001F01E3">
        <w:trPr>
          <w:trHeight w:val="634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Default="008706E2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、通过走进大自然，寻找秋天的树叶，具体了解火红的枫叶相关知识，量一量枫叶的长度；认识秋天其他的树叶特点，进一步感受秋天。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、通过体验和树叶有关的活动，培养查询和搜集的能力，想象创造和动手能力以及团队合作的能力，初步养成记录积累的好习惯。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3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、通过对秋天树叶的创作，激发学生喜爱秋天的感情。</w:t>
            </w:r>
          </w:p>
        </w:tc>
      </w:tr>
      <w:tr w:rsidR="008706E2" w:rsidRPr="001F01E3">
        <w:trPr>
          <w:trHeight w:val="565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Default="008706E2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ascii="宋体" w:hAnsi="宋体" w:cs="宋体" w:hint="eastAsia"/>
                <w:color w:val="000000"/>
                <w:kern w:val="0"/>
                <w:sz w:val="24"/>
              </w:rPr>
              <w:t>课程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ascii="宋体" w:hAnsi="宋体" w:cs="宋体" w:hint="eastAsia"/>
                <w:color w:val="000000"/>
                <w:kern w:val="0"/>
                <w:sz w:val="24"/>
              </w:rPr>
              <w:t>整合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ascii="宋体" w:hAnsi="宋体" w:cs="宋体" w:hint="eastAsia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Pr="00B21ED7" w:rsidRDefault="008706E2" w:rsidP="008706E2">
            <w:pPr>
              <w:widowControl/>
              <w:adjustRightInd w:val="0"/>
              <w:snapToGrid w:val="0"/>
              <w:spacing w:line="312" w:lineRule="auto"/>
              <w:ind w:firstLineChars="250" w:firstLine="3168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本次主题课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程将语文的积累表达能力、数学的测量计算能力、美术的绘画制作能力、运用简单的旋律唱唱以及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团队合作精神有机地整合乃至融合在七大体验活动中。</w:t>
            </w:r>
          </w:p>
          <w:p w:rsidR="008706E2" w:rsidRPr="00B21ED7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语文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《火红的枫叶》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——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认识枫叶，了解秋天。</w:t>
            </w:r>
          </w:p>
          <w:p w:rsidR="008706E2" w:rsidRPr="00B21ED7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数学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《认识厘米和米》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——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量一量树叶的长度，知道长度单位。</w:t>
            </w:r>
          </w:p>
          <w:p w:rsidR="008706E2" w:rsidRPr="00B21ED7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美术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：利用树叶元素创作丰富多彩的作品。</w:t>
            </w:r>
          </w:p>
          <w:p w:rsidR="008706E2" w:rsidRPr="008C598E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与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音乐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整合</w:t>
            </w:r>
            <w:r w:rsidRPr="00B21ED7">
              <w:rPr>
                <w:rFonts w:ascii="Times New Roman" w:hAnsi="Times New Roman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运用熟悉的旋律，将描写秋叶的儿歌用唱的形式呈现出来。</w:t>
            </w:r>
          </w:p>
        </w:tc>
      </w:tr>
      <w:tr w:rsidR="008706E2" w:rsidRPr="001F01E3" w:rsidTr="00C96C74">
        <w:trPr>
          <w:trHeight w:val="1235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Default="008706E2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实施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方式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与过程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Pr="00C96C74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 </w:t>
            </w:r>
            <w:r w:rsidRPr="00C96C74"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前沿</w:t>
            </w:r>
            <w:r w:rsidRPr="00C96C74"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——</w:t>
            </w: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利用班队课，介绍各项体验活动，下发提前</w:t>
            </w:r>
            <w:r w:rsidRPr="00C96C74"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制作</w:t>
            </w: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的</w:t>
            </w:r>
            <w:r w:rsidRPr="00C96C74">
              <w:rPr>
                <w:rFonts w:ascii="Times New Roman" w:hAnsi="Times New Roman" w:hint="eastAsia"/>
                <w:b/>
                <w:color w:val="000000"/>
                <w:kern w:val="0"/>
                <w:sz w:val="24"/>
              </w:rPr>
              <w:t>《巧手绘秋韵》体验活动的简单调查问卷，学生自由选择其中一到两个最感兴趣的活动，拿到相对应的体验券。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一、寻一寻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利用双休走进大自然，寻找各种各样的树叶，特别是秋天特有的树叶，比如枫叶、梧桐叶等。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二、查一查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利用网络资源，在父母的帮助下，借助汉语拼音音序表和基础的拼读，查一查和树叶有关的古诗、成语、儿歌，做好积累。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三、诵一诵</w:t>
            </w:r>
          </w:p>
          <w:p w:rsidR="008706E2" w:rsidRPr="00C96C74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朗诵有关秋天的诗歌、古诗、成语、并能有感情地朗读《火红的枫叶》。</w:t>
            </w:r>
          </w:p>
          <w:p w:rsidR="008706E2" w:rsidRPr="00C96C74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四、唱一唱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利用音乐课唱一唱大自然的秋天，编唱搜集的秋天的儿歌。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五、玩一玩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利用走读课，学生选择自己最感兴趣的去体验和本主题相关的活动。整个二年级的活动项目分配如下：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树叶门环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树叶印画之水粉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树叶印画之蜡笔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树叶补充画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树叶书签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树叶风铃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——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树叶创意画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C96C74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后续</w:t>
            </w:r>
            <w:r w:rsidRPr="00C96C74">
              <w:rPr>
                <w:rFonts w:ascii="宋体" w:hAnsi="宋体" w:cs="宋体"/>
                <w:b/>
                <w:color w:val="000000"/>
                <w:kern w:val="0"/>
                <w:sz w:val="24"/>
              </w:rPr>
              <w:t>——</w:t>
            </w:r>
            <w:r w:rsidRPr="00C96C74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利用班队课，让学生在同伴的帮助下体验未能在走读课上体验的其他《巧手绘秋韵》的活动。</w:t>
            </w:r>
          </w:p>
          <w:p w:rsidR="008706E2" w:rsidRPr="00894433" w:rsidRDefault="008706E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cs="宋体"/>
                <w:b/>
                <w:color w:val="000000"/>
                <w:kern w:val="0"/>
                <w:sz w:val="24"/>
              </w:rPr>
            </w:pPr>
          </w:p>
        </w:tc>
      </w:tr>
      <w:tr w:rsidR="008706E2" w:rsidRPr="001F01E3">
        <w:trPr>
          <w:trHeight w:val="2145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Default="008706E2">
            <w:pPr>
              <w:jc w:val="left"/>
              <w:rPr>
                <w:rFonts w:ascii="????" w:hAnsi="????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课程</w:t>
            </w:r>
          </w:p>
          <w:p w:rsidR="008706E2" w:rsidRPr="001F01E3" w:rsidRDefault="008706E2">
            <w:pPr>
              <w:widowControl/>
              <w:spacing w:line="480" w:lineRule="auto"/>
              <w:jc w:val="center"/>
            </w:pPr>
            <w:r>
              <w:rPr>
                <w:rStyle w:val="Strong"/>
                <w:rFonts w:cs="宋体" w:hint="eastAsia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06E2" w:rsidRDefault="008706E2" w:rsidP="008706E2">
            <w:pPr>
              <w:widowControl/>
              <w:adjustRightInd w:val="0"/>
              <w:snapToGrid w:val="0"/>
              <w:spacing w:line="312" w:lineRule="auto"/>
              <w:ind w:firstLineChars="600" w:firstLine="316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【过程性评价、展示性评价、结果性评价】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、评价主体多元化：</w:t>
            </w:r>
            <w:r w:rsidRPr="00C8086C">
              <w:rPr>
                <w:rFonts w:hint="eastAsia"/>
                <w:b/>
                <w:sz w:val="24"/>
              </w:rPr>
              <w:t>夸一夸</w:t>
            </w:r>
            <w:r w:rsidRPr="00C8086C">
              <w:rPr>
                <w:b/>
                <w:sz w:val="24"/>
              </w:rPr>
              <w:t>——</w:t>
            </w:r>
            <w:r w:rsidRPr="00C8086C">
              <w:rPr>
                <w:rFonts w:hint="eastAsia"/>
                <w:b/>
                <w:sz w:val="24"/>
              </w:rPr>
              <w:t>学生、老师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）班主任发放星星贴纸给学生，每位学生三颗星，给作品贴星星，评选出最佳人气作品。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）班主任发放苹果贴纸给任教老师，每位老师三颗，给作品贴星星，评选出最有质量作品。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前沿：学生作品张贴在教室墙上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</w:p>
          <w:p w:rsidR="008706E2" w:rsidRPr="00C8086C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、评价过程细致化：</w:t>
            </w:r>
            <w:r w:rsidRPr="00C8086C">
              <w:rPr>
                <w:rFonts w:hint="eastAsia"/>
                <w:b/>
                <w:sz w:val="24"/>
              </w:rPr>
              <w:t>说一说</w:t>
            </w:r>
            <w:r w:rsidRPr="00C8086C">
              <w:rPr>
                <w:b/>
                <w:sz w:val="24"/>
              </w:rPr>
              <w:t>——</w:t>
            </w:r>
            <w:r w:rsidRPr="00C8086C">
              <w:rPr>
                <w:rFonts w:hint="eastAsia"/>
                <w:b/>
                <w:sz w:val="24"/>
              </w:rPr>
              <w:t>学生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过程前：学生写话《秋天》，说一说他们眼中的秋意。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过程中：对体验活动的期待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过程后：参加完这一主题课程后的感受，分享自己最得意的一幅作品。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</w:p>
          <w:p w:rsidR="008706E2" w:rsidRPr="00C8086C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、评价形式丰富化：</w:t>
            </w:r>
            <w:r w:rsidRPr="00C8086C">
              <w:rPr>
                <w:rFonts w:hint="eastAsia"/>
                <w:b/>
                <w:sz w:val="24"/>
              </w:rPr>
              <w:t>秀一秀</w:t>
            </w:r>
            <w:r w:rsidRPr="00C8086C">
              <w:rPr>
                <w:b/>
                <w:sz w:val="24"/>
              </w:rPr>
              <w:t>——</w:t>
            </w:r>
            <w:r w:rsidRPr="00C8086C">
              <w:rPr>
                <w:rFonts w:hint="eastAsia"/>
                <w:b/>
                <w:sz w:val="24"/>
              </w:rPr>
              <w:t>优秀作品展</w:t>
            </w:r>
          </w:p>
          <w:p w:rsidR="008706E2" w:rsidRPr="00C8086C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b/>
                <w:sz w:val="24"/>
              </w:rPr>
            </w:pPr>
            <w:r w:rsidRPr="00C8086C">
              <w:rPr>
                <w:b/>
                <w:sz w:val="24"/>
              </w:rPr>
              <w:t xml:space="preserve">                             </w:t>
            </w:r>
            <w:r w:rsidRPr="00C8086C">
              <w:rPr>
                <w:rFonts w:hint="eastAsia"/>
                <w:b/>
                <w:sz w:val="24"/>
              </w:rPr>
              <w:t>活动掠影展</w:t>
            </w:r>
          </w:p>
          <w:p w:rsidR="008706E2" w:rsidRPr="00C8086C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b/>
                <w:sz w:val="24"/>
              </w:rPr>
            </w:pPr>
            <w:r w:rsidRPr="00C8086C">
              <w:rPr>
                <w:b/>
                <w:sz w:val="24"/>
              </w:rPr>
              <w:t xml:space="preserve">                             </w:t>
            </w:r>
            <w:r w:rsidRPr="00C8086C">
              <w:rPr>
                <w:rFonts w:hint="eastAsia"/>
                <w:b/>
                <w:sz w:val="24"/>
              </w:rPr>
              <w:t>古韵书签展</w:t>
            </w:r>
          </w:p>
          <w:p w:rsidR="008706E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b/>
                <w:sz w:val="24"/>
              </w:rPr>
            </w:pPr>
            <w:r w:rsidRPr="00C8086C">
              <w:rPr>
                <w:b/>
                <w:sz w:val="24"/>
              </w:rPr>
              <w:t xml:space="preserve">                             </w:t>
            </w:r>
            <w:r w:rsidRPr="00C8086C">
              <w:rPr>
                <w:rFonts w:hint="eastAsia"/>
                <w:b/>
                <w:sz w:val="24"/>
              </w:rPr>
              <w:t>唱诵才艺展</w:t>
            </w:r>
          </w:p>
          <w:p w:rsidR="008706E2" w:rsidRPr="00125AA2" w:rsidRDefault="008706E2" w:rsidP="00F22D2E">
            <w:pPr>
              <w:widowControl/>
              <w:adjustRightInd w:val="0"/>
              <w:snapToGrid w:val="0"/>
              <w:spacing w:line="312" w:lineRule="auto"/>
              <w:jc w:val="left"/>
              <w:rPr>
                <w:sz w:val="24"/>
              </w:rPr>
            </w:pPr>
            <w:r w:rsidRPr="00125AA2">
              <w:rPr>
                <w:sz w:val="24"/>
              </w:rPr>
              <w:t>4</w:t>
            </w:r>
            <w:r w:rsidRPr="00125AA2">
              <w:rPr>
                <w:rFonts w:hint="eastAsia"/>
                <w:sz w:val="24"/>
              </w:rPr>
              <w:t>、结果性评价：秋叶巧手王、秋叶创意王、秋叶收集王</w:t>
            </w:r>
            <w:r w:rsidRPr="00125AA2">
              <w:rPr>
                <w:sz w:val="24"/>
              </w:rPr>
              <w:t>……</w:t>
            </w:r>
          </w:p>
        </w:tc>
      </w:tr>
    </w:tbl>
    <w:p w:rsidR="008706E2" w:rsidRDefault="008706E2"/>
    <w:p w:rsidR="008706E2" w:rsidRDefault="008706E2"/>
    <w:p w:rsidR="008706E2" w:rsidRDefault="008706E2">
      <w:pPr>
        <w:adjustRightInd w:val="0"/>
        <w:snapToGrid w:val="0"/>
        <w:spacing w:line="300" w:lineRule="auto"/>
        <w:rPr>
          <w:rFonts w:ascii="Times New Roman" w:hAnsi="Times New Roman"/>
          <w:b/>
          <w:bCs/>
          <w:color w:val="000000"/>
          <w:kern w:val="0"/>
          <w:sz w:val="24"/>
        </w:rPr>
      </w:pPr>
      <w:bookmarkStart w:id="0" w:name="_GoBack"/>
      <w:bookmarkEnd w:id="0"/>
    </w:p>
    <w:sectPr w:rsidR="008706E2" w:rsidSect="005337D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E03E7"/>
    <w:multiLevelType w:val="singleLevel"/>
    <w:tmpl w:val="570E03E7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7163C9E"/>
    <w:multiLevelType w:val="singleLevel"/>
    <w:tmpl w:val="57163C9E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5AE6118"/>
    <w:rsid w:val="0000791E"/>
    <w:rsid w:val="00085CDD"/>
    <w:rsid w:val="00125665"/>
    <w:rsid w:val="00125AA2"/>
    <w:rsid w:val="0013058A"/>
    <w:rsid w:val="00132246"/>
    <w:rsid w:val="001A3212"/>
    <w:rsid w:val="001B52DE"/>
    <w:rsid w:val="001D505A"/>
    <w:rsid w:val="001F01E3"/>
    <w:rsid w:val="002A7037"/>
    <w:rsid w:val="003F6DBF"/>
    <w:rsid w:val="00403D6F"/>
    <w:rsid w:val="00454B1A"/>
    <w:rsid w:val="004B329B"/>
    <w:rsid w:val="004C4DED"/>
    <w:rsid w:val="004F4894"/>
    <w:rsid w:val="005337D3"/>
    <w:rsid w:val="00550B08"/>
    <w:rsid w:val="00565CAA"/>
    <w:rsid w:val="005C55EC"/>
    <w:rsid w:val="005E2C16"/>
    <w:rsid w:val="005F689E"/>
    <w:rsid w:val="006330B4"/>
    <w:rsid w:val="00673223"/>
    <w:rsid w:val="00710A51"/>
    <w:rsid w:val="00712570"/>
    <w:rsid w:val="00797E1F"/>
    <w:rsid w:val="007A34FF"/>
    <w:rsid w:val="007A6CF1"/>
    <w:rsid w:val="007D0F3B"/>
    <w:rsid w:val="007F7E22"/>
    <w:rsid w:val="00800594"/>
    <w:rsid w:val="008664A3"/>
    <w:rsid w:val="008706E2"/>
    <w:rsid w:val="0087310C"/>
    <w:rsid w:val="00893B0E"/>
    <w:rsid w:val="00894433"/>
    <w:rsid w:val="008C598E"/>
    <w:rsid w:val="008D6457"/>
    <w:rsid w:val="00930D6B"/>
    <w:rsid w:val="00997F7D"/>
    <w:rsid w:val="009F154F"/>
    <w:rsid w:val="00A06C64"/>
    <w:rsid w:val="00AB425E"/>
    <w:rsid w:val="00B21ED7"/>
    <w:rsid w:val="00B23F45"/>
    <w:rsid w:val="00B56F19"/>
    <w:rsid w:val="00C8086C"/>
    <w:rsid w:val="00C87DD2"/>
    <w:rsid w:val="00C96C74"/>
    <w:rsid w:val="00CD040A"/>
    <w:rsid w:val="00CE17B3"/>
    <w:rsid w:val="00D3238D"/>
    <w:rsid w:val="00DB1E8B"/>
    <w:rsid w:val="00E05BE7"/>
    <w:rsid w:val="00E51EA7"/>
    <w:rsid w:val="00ED7B99"/>
    <w:rsid w:val="00EE193C"/>
    <w:rsid w:val="00F00FCD"/>
    <w:rsid w:val="00F22D2E"/>
    <w:rsid w:val="00F2732B"/>
    <w:rsid w:val="00F34B13"/>
    <w:rsid w:val="00FB1D25"/>
    <w:rsid w:val="01A22463"/>
    <w:rsid w:val="01E75A35"/>
    <w:rsid w:val="03C31BB8"/>
    <w:rsid w:val="054632AD"/>
    <w:rsid w:val="06686750"/>
    <w:rsid w:val="0AE469BD"/>
    <w:rsid w:val="0CBD2DCE"/>
    <w:rsid w:val="10251C53"/>
    <w:rsid w:val="144E3858"/>
    <w:rsid w:val="166C51AB"/>
    <w:rsid w:val="181C0E6A"/>
    <w:rsid w:val="183A2779"/>
    <w:rsid w:val="18AE3E7F"/>
    <w:rsid w:val="1B6061C9"/>
    <w:rsid w:val="1D2A0B97"/>
    <w:rsid w:val="1D4A12E3"/>
    <w:rsid w:val="1D64066C"/>
    <w:rsid w:val="210636C3"/>
    <w:rsid w:val="26E742F7"/>
    <w:rsid w:val="274C5241"/>
    <w:rsid w:val="28CE469C"/>
    <w:rsid w:val="2F13122C"/>
    <w:rsid w:val="2FB65396"/>
    <w:rsid w:val="308275EA"/>
    <w:rsid w:val="30E22CF7"/>
    <w:rsid w:val="31844F02"/>
    <w:rsid w:val="32FA2DAB"/>
    <w:rsid w:val="3470593A"/>
    <w:rsid w:val="3A97550C"/>
    <w:rsid w:val="3B1E40A7"/>
    <w:rsid w:val="3CC1147D"/>
    <w:rsid w:val="3FAE75A4"/>
    <w:rsid w:val="43B073F1"/>
    <w:rsid w:val="47892966"/>
    <w:rsid w:val="48130A59"/>
    <w:rsid w:val="4A3E3AD6"/>
    <w:rsid w:val="4F112A5F"/>
    <w:rsid w:val="51EB7082"/>
    <w:rsid w:val="5285037B"/>
    <w:rsid w:val="52E80D27"/>
    <w:rsid w:val="58413F1C"/>
    <w:rsid w:val="58E131CB"/>
    <w:rsid w:val="5C3C12FC"/>
    <w:rsid w:val="5CE5542F"/>
    <w:rsid w:val="5DB766A9"/>
    <w:rsid w:val="5F304252"/>
    <w:rsid w:val="611D4274"/>
    <w:rsid w:val="62C056F5"/>
    <w:rsid w:val="62EA05D0"/>
    <w:rsid w:val="67516779"/>
    <w:rsid w:val="68BC09CE"/>
    <w:rsid w:val="6D5A07D5"/>
    <w:rsid w:val="7159725E"/>
    <w:rsid w:val="718643CF"/>
    <w:rsid w:val="72C95C03"/>
    <w:rsid w:val="739106F4"/>
    <w:rsid w:val="745D3940"/>
    <w:rsid w:val="75AE6118"/>
    <w:rsid w:val="75B7090C"/>
    <w:rsid w:val="760B6C44"/>
    <w:rsid w:val="77D96DAA"/>
    <w:rsid w:val="79761B2E"/>
    <w:rsid w:val="7C5875DD"/>
    <w:rsid w:val="7E9C4E31"/>
    <w:rsid w:val="7F6E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337D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337D3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5337D3"/>
    <w:rPr>
      <w:rFonts w:cs="Times New Roman"/>
      <w:color w:val="000000"/>
      <w:u w:val="none"/>
    </w:rPr>
  </w:style>
  <w:style w:type="character" w:styleId="Hyperlink">
    <w:name w:val="Hyperlink"/>
    <w:basedOn w:val="DefaultParagraphFont"/>
    <w:uiPriority w:val="99"/>
    <w:rsid w:val="005337D3"/>
    <w:rPr>
      <w:rFonts w:cs="Times New Roman"/>
      <w:color w:val="00000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198</Words>
  <Characters>1130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春江中心小学主题课程建设沙龙</dc:title>
  <dc:subject/>
  <dc:creator>asus</dc:creator>
  <cp:keywords/>
  <dc:description/>
  <cp:lastModifiedBy>微软用户</cp:lastModifiedBy>
  <cp:revision>28</cp:revision>
  <dcterms:created xsi:type="dcterms:W3CDTF">2017-09-18T07:40:00Z</dcterms:created>
  <dcterms:modified xsi:type="dcterms:W3CDTF">2017-09-18T12:19:00Z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