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5BE" w:rsidRPr="000E1381" w:rsidRDefault="001A65BE" w:rsidP="000E1381">
      <w:pPr>
        <w:jc w:val="center"/>
        <w:rPr>
          <w:rFonts w:ascii="宋体"/>
          <w:b/>
          <w:kern w:val="0"/>
          <w:sz w:val="36"/>
          <w:szCs w:val="24"/>
        </w:rPr>
      </w:pPr>
      <w:r w:rsidRPr="000E1381">
        <w:rPr>
          <w:rFonts w:ascii="宋体" w:hAnsi="宋体" w:hint="eastAsia"/>
          <w:b/>
          <w:kern w:val="0"/>
          <w:sz w:val="36"/>
          <w:szCs w:val="24"/>
        </w:rPr>
        <w:t>常州市河海中学</w:t>
      </w:r>
      <w:r w:rsidRPr="000E1381">
        <w:rPr>
          <w:rFonts w:ascii="宋体" w:hAnsi="宋体"/>
          <w:b/>
          <w:kern w:val="0"/>
          <w:sz w:val="36"/>
          <w:szCs w:val="24"/>
        </w:rPr>
        <w:t>2017—2018</w:t>
      </w:r>
      <w:r w:rsidRPr="000E1381">
        <w:rPr>
          <w:rFonts w:ascii="宋体" w:hAnsi="宋体" w:hint="eastAsia"/>
          <w:b/>
          <w:kern w:val="0"/>
          <w:sz w:val="36"/>
          <w:szCs w:val="24"/>
        </w:rPr>
        <w:t>学年度第二学期</w:t>
      </w:r>
    </w:p>
    <w:p w:rsidR="001A65BE" w:rsidRDefault="001A65BE" w:rsidP="000E1381">
      <w:pPr>
        <w:jc w:val="center"/>
        <w:rPr>
          <w:rFonts w:ascii="宋体"/>
          <w:b/>
          <w:kern w:val="0"/>
          <w:sz w:val="36"/>
          <w:szCs w:val="24"/>
        </w:rPr>
      </w:pPr>
      <w:r>
        <w:rPr>
          <w:rFonts w:ascii="宋体" w:hAnsi="宋体" w:hint="eastAsia"/>
          <w:b/>
          <w:kern w:val="0"/>
          <w:sz w:val="36"/>
          <w:szCs w:val="24"/>
        </w:rPr>
        <w:t>八</w:t>
      </w:r>
      <w:r w:rsidRPr="000E1381">
        <w:rPr>
          <w:rFonts w:ascii="宋体" w:hAnsi="宋体" w:hint="eastAsia"/>
          <w:b/>
          <w:kern w:val="0"/>
          <w:sz w:val="36"/>
          <w:szCs w:val="24"/>
        </w:rPr>
        <w:t>年级</w:t>
      </w:r>
      <w:r>
        <w:rPr>
          <w:rFonts w:ascii="宋体" w:hAnsi="宋体" w:hint="eastAsia"/>
          <w:b/>
          <w:kern w:val="0"/>
          <w:sz w:val="36"/>
          <w:szCs w:val="24"/>
        </w:rPr>
        <w:t>结业考试生物</w:t>
      </w:r>
      <w:r w:rsidRPr="000E1381">
        <w:rPr>
          <w:rFonts w:ascii="宋体" w:hAnsi="宋体" w:hint="eastAsia"/>
          <w:b/>
          <w:kern w:val="0"/>
          <w:sz w:val="36"/>
          <w:szCs w:val="24"/>
        </w:rPr>
        <w:t>试卷分析</w:t>
      </w:r>
    </w:p>
    <w:p w:rsidR="001A65BE" w:rsidRDefault="001A65BE" w:rsidP="000E1381">
      <w:pPr>
        <w:jc w:val="center"/>
        <w:rPr>
          <w:rFonts w:ascii="宋体"/>
          <w:b/>
          <w:bCs/>
          <w:sz w:val="24"/>
        </w:rPr>
      </w:pPr>
      <w:r>
        <w:rPr>
          <w:rFonts w:ascii="宋体" w:hAnsi="宋体" w:hint="eastAsia"/>
          <w:b/>
          <w:bCs/>
          <w:sz w:val="24"/>
        </w:rPr>
        <w:t>八（</w:t>
      </w:r>
      <w:r>
        <w:rPr>
          <w:rFonts w:ascii="宋体" w:hAnsi="宋体"/>
          <w:b/>
          <w:bCs/>
          <w:sz w:val="24"/>
        </w:rPr>
        <w:t>4</w:t>
      </w:r>
      <w:r>
        <w:rPr>
          <w:rFonts w:ascii="宋体" w:hAnsi="宋体" w:hint="eastAsia"/>
          <w:b/>
          <w:bCs/>
          <w:sz w:val="24"/>
        </w:rPr>
        <w:t>）</w:t>
      </w:r>
      <w:r w:rsidRPr="00105902">
        <w:rPr>
          <w:rFonts w:ascii="宋体" w:hAnsi="宋体" w:hint="eastAsia"/>
          <w:b/>
          <w:bCs/>
          <w:sz w:val="24"/>
        </w:rPr>
        <w:t>（</w:t>
      </w:r>
      <w:r w:rsidRPr="00105902">
        <w:rPr>
          <w:rFonts w:ascii="宋体" w:hAnsi="宋体"/>
          <w:b/>
          <w:bCs/>
          <w:sz w:val="24"/>
        </w:rPr>
        <w:t>5</w:t>
      </w:r>
      <w:r w:rsidRPr="00105902">
        <w:rPr>
          <w:rFonts w:ascii="宋体" w:hAnsi="宋体" w:hint="eastAsia"/>
          <w:b/>
          <w:bCs/>
          <w:sz w:val="24"/>
        </w:rPr>
        <w:t>）（</w:t>
      </w:r>
      <w:r w:rsidRPr="00105902">
        <w:rPr>
          <w:rFonts w:ascii="宋体" w:hAnsi="宋体"/>
          <w:b/>
          <w:bCs/>
          <w:sz w:val="24"/>
        </w:rPr>
        <w:t>6</w:t>
      </w:r>
      <w:r w:rsidRPr="00105902">
        <w:rPr>
          <w:rFonts w:ascii="宋体" w:hAnsi="宋体" w:hint="eastAsia"/>
          <w:b/>
          <w:bCs/>
          <w:sz w:val="24"/>
        </w:rPr>
        <w:t>）班</w:t>
      </w:r>
      <w:r w:rsidRPr="00105902">
        <w:rPr>
          <w:rFonts w:ascii="宋体" w:hAnsi="宋体"/>
          <w:b/>
          <w:bCs/>
          <w:sz w:val="24"/>
        </w:rPr>
        <w:t xml:space="preserve">     </w:t>
      </w:r>
      <w:r w:rsidRPr="00105902">
        <w:rPr>
          <w:rFonts w:ascii="宋体" w:hAnsi="宋体" w:hint="eastAsia"/>
          <w:b/>
          <w:bCs/>
          <w:sz w:val="24"/>
        </w:rPr>
        <w:t>执教：杨栋楠</w:t>
      </w:r>
    </w:p>
    <w:p w:rsidR="001A65BE" w:rsidRPr="00D214C3" w:rsidRDefault="001A65BE" w:rsidP="00494D62">
      <w:pPr>
        <w:spacing w:line="400" w:lineRule="exact"/>
        <w:rPr>
          <w:rFonts w:ascii="宋体"/>
          <w:sz w:val="24"/>
          <w:szCs w:val="24"/>
        </w:rPr>
      </w:pPr>
      <w:r w:rsidRPr="00D214C3">
        <w:rPr>
          <w:rFonts w:ascii="宋体" w:hAnsi="宋体" w:hint="eastAsia"/>
          <w:sz w:val="24"/>
          <w:szCs w:val="24"/>
        </w:rPr>
        <w:t>一、学情总览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70"/>
        <w:gridCol w:w="2249"/>
        <w:gridCol w:w="2029"/>
        <w:gridCol w:w="2249"/>
      </w:tblGrid>
      <w:tr w:rsidR="001A65BE" w:rsidRPr="0090206F" w:rsidTr="000E1381">
        <w:trPr>
          <w:trHeight w:val="708"/>
          <w:jc w:val="center"/>
        </w:trPr>
        <w:tc>
          <w:tcPr>
            <w:tcW w:w="2470"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hint="eastAsia"/>
                <w:sz w:val="24"/>
                <w:szCs w:val="24"/>
              </w:rPr>
              <w:t>班级</w:t>
            </w:r>
          </w:p>
        </w:tc>
        <w:tc>
          <w:tcPr>
            <w:tcW w:w="224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hint="eastAsia"/>
                <w:sz w:val="24"/>
                <w:szCs w:val="24"/>
              </w:rPr>
              <w:t>八（</w:t>
            </w:r>
            <w:r w:rsidRPr="0090206F">
              <w:rPr>
                <w:rFonts w:ascii="宋体" w:hAnsi="宋体"/>
                <w:sz w:val="24"/>
                <w:szCs w:val="24"/>
              </w:rPr>
              <w:t>4</w:t>
            </w:r>
            <w:r w:rsidRPr="0090206F">
              <w:rPr>
                <w:rFonts w:ascii="宋体" w:hAnsi="宋体" w:hint="eastAsia"/>
                <w:sz w:val="24"/>
                <w:szCs w:val="24"/>
              </w:rPr>
              <w:t>）班</w:t>
            </w:r>
          </w:p>
        </w:tc>
        <w:tc>
          <w:tcPr>
            <w:tcW w:w="202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hint="eastAsia"/>
                <w:sz w:val="24"/>
                <w:szCs w:val="24"/>
              </w:rPr>
              <w:t>八（</w:t>
            </w:r>
            <w:r w:rsidRPr="0090206F">
              <w:rPr>
                <w:rFonts w:ascii="宋体" w:hAnsi="宋体"/>
                <w:sz w:val="24"/>
                <w:szCs w:val="24"/>
              </w:rPr>
              <w:t>5</w:t>
            </w:r>
            <w:r w:rsidRPr="0090206F">
              <w:rPr>
                <w:rFonts w:ascii="宋体" w:hAnsi="宋体" w:hint="eastAsia"/>
                <w:sz w:val="24"/>
                <w:szCs w:val="24"/>
              </w:rPr>
              <w:t>）班</w:t>
            </w:r>
          </w:p>
        </w:tc>
        <w:tc>
          <w:tcPr>
            <w:tcW w:w="224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hint="eastAsia"/>
                <w:sz w:val="24"/>
                <w:szCs w:val="24"/>
              </w:rPr>
              <w:t>八（</w:t>
            </w:r>
            <w:r w:rsidRPr="0090206F">
              <w:rPr>
                <w:rFonts w:ascii="宋体" w:hAnsi="宋体"/>
                <w:sz w:val="24"/>
                <w:szCs w:val="24"/>
              </w:rPr>
              <w:t>6</w:t>
            </w:r>
            <w:r w:rsidRPr="0090206F">
              <w:rPr>
                <w:rFonts w:ascii="宋体" w:hAnsi="宋体" w:hint="eastAsia"/>
                <w:sz w:val="24"/>
                <w:szCs w:val="24"/>
              </w:rPr>
              <w:t>）班</w:t>
            </w:r>
          </w:p>
        </w:tc>
      </w:tr>
      <w:tr w:rsidR="001A65BE" w:rsidRPr="0090206F" w:rsidTr="000E1381">
        <w:trPr>
          <w:trHeight w:val="681"/>
          <w:jc w:val="center"/>
        </w:trPr>
        <w:tc>
          <w:tcPr>
            <w:tcW w:w="2470"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hint="eastAsia"/>
                <w:sz w:val="24"/>
                <w:szCs w:val="24"/>
              </w:rPr>
              <w:t>优秀（</w:t>
            </w:r>
            <w:r w:rsidRPr="0090206F">
              <w:rPr>
                <w:rFonts w:ascii="宋体" w:hAnsi="宋体"/>
                <w:sz w:val="24"/>
                <w:szCs w:val="24"/>
              </w:rPr>
              <w:t>100-85</w:t>
            </w:r>
            <w:r w:rsidRPr="0090206F">
              <w:rPr>
                <w:rFonts w:ascii="宋体" w:hAnsi="宋体" w:hint="eastAsia"/>
                <w:sz w:val="24"/>
                <w:szCs w:val="24"/>
              </w:rPr>
              <w:t>）</w:t>
            </w:r>
          </w:p>
        </w:tc>
        <w:tc>
          <w:tcPr>
            <w:tcW w:w="224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29</w:t>
            </w:r>
            <w:r w:rsidRPr="0090206F">
              <w:rPr>
                <w:rFonts w:ascii="宋体" w:hAnsi="宋体" w:hint="eastAsia"/>
                <w:sz w:val="24"/>
                <w:szCs w:val="24"/>
              </w:rPr>
              <w:t>人</w:t>
            </w:r>
          </w:p>
        </w:tc>
        <w:tc>
          <w:tcPr>
            <w:tcW w:w="202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12</w:t>
            </w:r>
            <w:r w:rsidRPr="0090206F">
              <w:rPr>
                <w:rFonts w:ascii="宋体" w:hAnsi="宋体" w:hint="eastAsia"/>
                <w:sz w:val="24"/>
                <w:szCs w:val="24"/>
              </w:rPr>
              <w:t>人</w:t>
            </w:r>
          </w:p>
        </w:tc>
        <w:tc>
          <w:tcPr>
            <w:tcW w:w="224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29</w:t>
            </w:r>
            <w:r w:rsidRPr="0090206F">
              <w:rPr>
                <w:rFonts w:ascii="宋体" w:hAnsi="宋体" w:hint="eastAsia"/>
                <w:sz w:val="24"/>
                <w:szCs w:val="24"/>
              </w:rPr>
              <w:t>人</w:t>
            </w:r>
          </w:p>
        </w:tc>
      </w:tr>
      <w:tr w:rsidR="001A65BE" w:rsidRPr="0090206F" w:rsidTr="000E1381">
        <w:trPr>
          <w:trHeight w:val="681"/>
          <w:jc w:val="center"/>
        </w:trPr>
        <w:tc>
          <w:tcPr>
            <w:tcW w:w="2470"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hint="eastAsia"/>
                <w:sz w:val="24"/>
                <w:szCs w:val="24"/>
              </w:rPr>
              <w:t>良好（</w:t>
            </w:r>
            <w:r w:rsidRPr="0090206F">
              <w:rPr>
                <w:rFonts w:ascii="宋体" w:hAnsi="宋体"/>
                <w:sz w:val="24"/>
                <w:szCs w:val="24"/>
              </w:rPr>
              <w:t>84-70</w:t>
            </w:r>
            <w:r w:rsidRPr="0090206F">
              <w:rPr>
                <w:rFonts w:ascii="宋体" w:hAnsi="宋体" w:hint="eastAsia"/>
                <w:sz w:val="24"/>
                <w:szCs w:val="24"/>
              </w:rPr>
              <w:t>）</w:t>
            </w:r>
          </w:p>
        </w:tc>
        <w:tc>
          <w:tcPr>
            <w:tcW w:w="224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22</w:t>
            </w:r>
            <w:r w:rsidRPr="0090206F">
              <w:rPr>
                <w:rFonts w:ascii="宋体" w:hAnsi="宋体" w:hint="eastAsia"/>
                <w:sz w:val="24"/>
                <w:szCs w:val="24"/>
              </w:rPr>
              <w:t>人</w:t>
            </w:r>
          </w:p>
        </w:tc>
        <w:tc>
          <w:tcPr>
            <w:tcW w:w="202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32</w:t>
            </w:r>
            <w:r w:rsidRPr="0090206F">
              <w:rPr>
                <w:rFonts w:ascii="宋体" w:hAnsi="宋体" w:hint="eastAsia"/>
                <w:sz w:val="24"/>
                <w:szCs w:val="24"/>
              </w:rPr>
              <w:t>人</w:t>
            </w:r>
          </w:p>
        </w:tc>
        <w:tc>
          <w:tcPr>
            <w:tcW w:w="224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19</w:t>
            </w:r>
            <w:r w:rsidRPr="0090206F">
              <w:rPr>
                <w:rFonts w:ascii="宋体" w:hAnsi="宋体" w:hint="eastAsia"/>
                <w:sz w:val="24"/>
                <w:szCs w:val="24"/>
              </w:rPr>
              <w:t>人</w:t>
            </w:r>
          </w:p>
        </w:tc>
      </w:tr>
      <w:tr w:rsidR="001A65BE" w:rsidRPr="0090206F" w:rsidTr="000E1381">
        <w:trPr>
          <w:trHeight w:val="708"/>
          <w:jc w:val="center"/>
        </w:trPr>
        <w:tc>
          <w:tcPr>
            <w:tcW w:w="2470"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hint="eastAsia"/>
                <w:sz w:val="24"/>
                <w:szCs w:val="24"/>
              </w:rPr>
              <w:t>合格（</w:t>
            </w:r>
            <w:r w:rsidRPr="0090206F">
              <w:rPr>
                <w:rFonts w:ascii="宋体" w:hAnsi="宋体"/>
                <w:sz w:val="24"/>
                <w:szCs w:val="24"/>
              </w:rPr>
              <w:t>69-60</w:t>
            </w:r>
            <w:r w:rsidRPr="0090206F">
              <w:rPr>
                <w:rFonts w:ascii="宋体" w:hAnsi="宋体" w:hint="eastAsia"/>
                <w:sz w:val="24"/>
                <w:szCs w:val="24"/>
              </w:rPr>
              <w:t>）</w:t>
            </w:r>
          </w:p>
        </w:tc>
        <w:tc>
          <w:tcPr>
            <w:tcW w:w="224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3</w:t>
            </w:r>
            <w:r w:rsidRPr="0090206F">
              <w:rPr>
                <w:rFonts w:ascii="宋体" w:hAnsi="宋体" w:hint="eastAsia"/>
                <w:sz w:val="24"/>
                <w:szCs w:val="24"/>
              </w:rPr>
              <w:t>人</w:t>
            </w:r>
          </w:p>
        </w:tc>
        <w:tc>
          <w:tcPr>
            <w:tcW w:w="202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4</w:t>
            </w:r>
            <w:r w:rsidRPr="0090206F">
              <w:rPr>
                <w:rFonts w:ascii="宋体" w:hAnsi="宋体" w:hint="eastAsia"/>
                <w:sz w:val="24"/>
                <w:szCs w:val="24"/>
              </w:rPr>
              <w:t>人</w:t>
            </w:r>
          </w:p>
        </w:tc>
        <w:tc>
          <w:tcPr>
            <w:tcW w:w="224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5</w:t>
            </w:r>
            <w:r w:rsidRPr="0090206F">
              <w:rPr>
                <w:rFonts w:ascii="宋体" w:hAnsi="宋体" w:hint="eastAsia"/>
                <w:sz w:val="24"/>
                <w:szCs w:val="24"/>
              </w:rPr>
              <w:t>人</w:t>
            </w:r>
          </w:p>
        </w:tc>
      </w:tr>
      <w:tr w:rsidR="001A65BE" w:rsidRPr="0090206F" w:rsidTr="000E1381">
        <w:trPr>
          <w:trHeight w:val="681"/>
          <w:jc w:val="center"/>
        </w:trPr>
        <w:tc>
          <w:tcPr>
            <w:tcW w:w="2470"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hint="eastAsia"/>
                <w:sz w:val="24"/>
                <w:szCs w:val="24"/>
              </w:rPr>
              <w:t>不合格（</w:t>
            </w:r>
            <w:r w:rsidRPr="0090206F">
              <w:rPr>
                <w:rFonts w:ascii="宋体" w:hAnsi="宋体"/>
                <w:sz w:val="24"/>
                <w:szCs w:val="24"/>
              </w:rPr>
              <w:t>59</w:t>
            </w:r>
            <w:r w:rsidRPr="0090206F">
              <w:rPr>
                <w:rFonts w:ascii="宋体" w:hAnsi="宋体" w:hint="eastAsia"/>
                <w:sz w:val="24"/>
                <w:szCs w:val="24"/>
              </w:rPr>
              <w:t>及以下）</w:t>
            </w:r>
          </w:p>
        </w:tc>
        <w:tc>
          <w:tcPr>
            <w:tcW w:w="224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0</w:t>
            </w:r>
            <w:r w:rsidRPr="0090206F">
              <w:rPr>
                <w:rFonts w:ascii="宋体" w:hAnsi="宋体" w:hint="eastAsia"/>
                <w:sz w:val="24"/>
                <w:szCs w:val="24"/>
              </w:rPr>
              <w:t>人</w:t>
            </w:r>
          </w:p>
        </w:tc>
        <w:tc>
          <w:tcPr>
            <w:tcW w:w="202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6</w:t>
            </w:r>
            <w:r w:rsidRPr="0090206F">
              <w:rPr>
                <w:rFonts w:ascii="宋体" w:hAnsi="宋体" w:hint="eastAsia"/>
                <w:sz w:val="24"/>
                <w:szCs w:val="24"/>
              </w:rPr>
              <w:t>人</w:t>
            </w:r>
          </w:p>
        </w:tc>
        <w:tc>
          <w:tcPr>
            <w:tcW w:w="2249"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sz w:val="24"/>
                <w:szCs w:val="24"/>
              </w:rPr>
              <w:t>0</w:t>
            </w:r>
            <w:r w:rsidRPr="0090206F">
              <w:rPr>
                <w:rFonts w:ascii="宋体" w:hAnsi="宋体" w:hint="eastAsia"/>
                <w:sz w:val="24"/>
                <w:szCs w:val="24"/>
              </w:rPr>
              <w:t>人</w:t>
            </w:r>
          </w:p>
        </w:tc>
      </w:tr>
      <w:tr w:rsidR="001A65BE" w:rsidRPr="0090206F" w:rsidTr="000E1381">
        <w:trPr>
          <w:trHeight w:val="708"/>
          <w:jc w:val="center"/>
        </w:trPr>
        <w:tc>
          <w:tcPr>
            <w:tcW w:w="2470" w:type="dxa"/>
            <w:vAlign w:val="center"/>
          </w:tcPr>
          <w:p w:rsidR="001A65BE" w:rsidRPr="0090206F" w:rsidRDefault="001A65BE" w:rsidP="000E1381">
            <w:pPr>
              <w:spacing w:line="400" w:lineRule="exact"/>
              <w:jc w:val="center"/>
              <w:rPr>
                <w:rFonts w:ascii="宋体"/>
                <w:sz w:val="24"/>
                <w:szCs w:val="24"/>
              </w:rPr>
            </w:pPr>
            <w:r w:rsidRPr="0090206F">
              <w:rPr>
                <w:rFonts w:ascii="宋体" w:hAnsi="宋体" w:hint="eastAsia"/>
                <w:sz w:val="24"/>
                <w:szCs w:val="24"/>
              </w:rPr>
              <w:t>均分</w:t>
            </w:r>
          </w:p>
        </w:tc>
        <w:tc>
          <w:tcPr>
            <w:tcW w:w="2249" w:type="dxa"/>
            <w:vAlign w:val="center"/>
          </w:tcPr>
          <w:p w:rsidR="001A65BE" w:rsidRPr="0090206F" w:rsidRDefault="001A65BE" w:rsidP="000E1381">
            <w:pPr>
              <w:spacing w:line="400" w:lineRule="exact"/>
              <w:jc w:val="center"/>
              <w:rPr>
                <w:rFonts w:ascii="宋体" w:hAnsi="宋体"/>
                <w:sz w:val="24"/>
                <w:szCs w:val="24"/>
              </w:rPr>
            </w:pPr>
            <w:r w:rsidRPr="0090206F">
              <w:rPr>
                <w:rFonts w:ascii="宋体" w:hAnsi="宋体"/>
                <w:sz w:val="24"/>
                <w:szCs w:val="24"/>
              </w:rPr>
              <w:t>82.8</w:t>
            </w:r>
          </w:p>
        </w:tc>
        <w:tc>
          <w:tcPr>
            <w:tcW w:w="2029" w:type="dxa"/>
            <w:vAlign w:val="center"/>
          </w:tcPr>
          <w:p w:rsidR="001A65BE" w:rsidRPr="0090206F" w:rsidRDefault="001A65BE" w:rsidP="000E1381">
            <w:pPr>
              <w:spacing w:line="400" w:lineRule="exact"/>
              <w:jc w:val="center"/>
              <w:rPr>
                <w:rFonts w:ascii="宋体" w:hAnsi="宋体"/>
                <w:sz w:val="24"/>
                <w:szCs w:val="24"/>
              </w:rPr>
            </w:pPr>
            <w:r w:rsidRPr="0090206F">
              <w:rPr>
                <w:rFonts w:ascii="宋体" w:hAnsi="宋体"/>
                <w:sz w:val="24"/>
                <w:szCs w:val="24"/>
              </w:rPr>
              <w:t>76.1</w:t>
            </w:r>
          </w:p>
        </w:tc>
        <w:tc>
          <w:tcPr>
            <w:tcW w:w="2249" w:type="dxa"/>
            <w:vAlign w:val="center"/>
          </w:tcPr>
          <w:p w:rsidR="001A65BE" w:rsidRPr="0090206F" w:rsidRDefault="001A65BE" w:rsidP="000E1381">
            <w:pPr>
              <w:spacing w:line="400" w:lineRule="exact"/>
              <w:jc w:val="center"/>
              <w:rPr>
                <w:rFonts w:ascii="宋体" w:hAnsi="宋体"/>
                <w:sz w:val="24"/>
                <w:szCs w:val="24"/>
              </w:rPr>
            </w:pPr>
            <w:r w:rsidRPr="0090206F">
              <w:rPr>
                <w:rFonts w:ascii="宋体" w:hAnsi="宋体"/>
                <w:sz w:val="24"/>
                <w:szCs w:val="24"/>
              </w:rPr>
              <w:t>79.8</w:t>
            </w:r>
          </w:p>
        </w:tc>
      </w:tr>
    </w:tbl>
    <w:p w:rsidR="001A65BE" w:rsidRDefault="001A65BE" w:rsidP="00494D62">
      <w:pPr>
        <w:spacing w:line="400" w:lineRule="exact"/>
        <w:rPr>
          <w:rFonts w:ascii="宋体"/>
          <w:sz w:val="24"/>
          <w:szCs w:val="24"/>
        </w:rPr>
      </w:pPr>
      <w:r w:rsidRPr="00D214C3">
        <w:rPr>
          <w:rFonts w:ascii="宋体" w:hAnsi="宋体" w:hint="eastAsia"/>
          <w:sz w:val="24"/>
          <w:szCs w:val="24"/>
        </w:rPr>
        <w:t>二、卷面分析</w:t>
      </w:r>
    </w:p>
    <w:p w:rsidR="001A65BE" w:rsidRDefault="001A65BE" w:rsidP="00494D62">
      <w:pPr>
        <w:spacing w:line="400" w:lineRule="exact"/>
        <w:ind w:firstLine="480"/>
        <w:rPr>
          <w:rFonts w:ascii="宋体"/>
          <w:sz w:val="24"/>
          <w:szCs w:val="24"/>
        </w:rPr>
      </w:pPr>
      <w:r>
        <w:rPr>
          <w:rFonts w:ascii="宋体" w:hAnsi="宋体" w:hint="eastAsia"/>
          <w:sz w:val="24"/>
          <w:szCs w:val="24"/>
        </w:rPr>
        <w:t>与往年相比，本次生物会考试卷偏活，题目侧重知识点的灵活应用，因此整体得分不高，不及格人数较往年有所增加。下面结合题目具体分析。</w:t>
      </w:r>
    </w:p>
    <w:p w:rsidR="001A65BE" w:rsidRDefault="001A65BE" w:rsidP="00494D62">
      <w:pPr>
        <w:spacing w:line="400" w:lineRule="exact"/>
        <w:ind w:firstLine="480"/>
        <w:rPr>
          <w:rFonts w:ascii="宋体"/>
          <w:sz w:val="24"/>
          <w:szCs w:val="24"/>
        </w:rPr>
      </w:pPr>
      <w:r>
        <w:rPr>
          <w:rFonts w:ascii="宋体" w:hAnsi="宋体"/>
          <w:sz w:val="24"/>
          <w:szCs w:val="24"/>
        </w:rPr>
        <w:t>1</w:t>
      </w:r>
      <w:r>
        <w:rPr>
          <w:rFonts w:ascii="宋体" w:hAnsi="宋体" w:hint="eastAsia"/>
          <w:sz w:val="24"/>
          <w:szCs w:val="24"/>
        </w:rPr>
        <w:t>、选择题第</w:t>
      </w:r>
      <w:r>
        <w:rPr>
          <w:rFonts w:ascii="宋体" w:hAnsi="宋体"/>
          <w:sz w:val="24"/>
          <w:szCs w:val="24"/>
        </w:rPr>
        <w:t>1</w:t>
      </w:r>
      <w:r>
        <w:rPr>
          <w:rFonts w:ascii="宋体" w:hAnsi="宋体" w:hint="eastAsia"/>
          <w:sz w:val="24"/>
          <w:szCs w:val="24"/>
        </w:rPr>
        <w:t>题，考察显微镜的放大倍数。本题首先考察显微镜放大倍数的计算，属于基础知识。然而这道题还要再进一步转换成放大倍数与视野中细胞数目的关系，很多学生没有想到这一步，因此失分。说明学生思维逻辑能力不强，对题目的理解不到位。</w:t>
      </w:r>
    </w:p>
    <w:p w:rsidR="001A65BE" w:rsidRDefault="001A65BE" w:rsidP="00494D62">
      <w:pPr>
        <w:spacing w:line="400" w:lineRule="exact"/>
        <w:ind w:firstLine="480"/>
        <w:rPr>
          <w:rFonts w:ascii="宋体"/>
          <w:sz w:val="24"/>
          <w:szCs w:val="24"/>
        </w:rPr>
      </w:pPr>
      <w:r>
        <w:rPr>
          <w:rFonts w:ascii="宋体" w:hAnsi="宋体"/>
          <w:sz w:val="24"/>
          <w:szCs w:val="24"/>
        </w:rPr>
        <w:t>2</w:t>
      </w:r>
      <w:r>
        <w:rPr>
          <w:rFonts w:ascii="宋体" w:hAnsi="宋体" w:hint="eastAsia"/>
          <w:sz w:val="24"/>
          <w:szCs w:val="24"/>
        </w:rPr>
        <w:t>、选择题第</w:t>
      </w:r>
      <w:r>
        <w:rPr>
          <w:rFonts w:ascii="宋体" w:hAnsi="宋体"/>
          <w:sz w:val="24"/>
          <w:szCs w:val="24"/>
        </w:rPr>
        <w:t>3</w:t>
      </w:r>
      <w:r>
        <w:rPr>
          <w:rFonts w:ascii="宋体" w:hAnsi="宋体" w:hint="eastAsia"/>
          <w:sz w:val="24"/>
          <w:szCs w:val="24"/>
        </w:rPr>
        <w:t>题，“某同学不小心将菠菜汁液溅在白色衣服上，欲除去绿渍，最好选用什么液体”。乍一看这一题好像与生物没什么关系，但静下心来仔细思考，这道题的突破口在于溶解叶绿素，而这正是实验考察的一个重点</w:t>
      </w:r>
      <w:r>
        <w:rPr>
          <w:rFonts w:ascii="宋体" w:hAnsi="宋体"/>
          <w:sz w:val="24"/>
          <w:szCs w:val="24"/>
        </w:rPr>
        <w:t>——</w:t>
      </w:r>
      <w:r>
        <w:rPr>
          <w:rFonts w:ascii="宋体" w:hAnsi="宋体" w:hint="eastAsia"/>
          <w:sz w:val="24"/>
          <w:szCs w:val="24"/>
        </w:rPr>
        <w:t>用酒精溶解叶绿素。本题要求学生对基础知识非常熟悉，并且能够灵活运用知识点解决实际问题。</w:t>
      </w:r>
    </w:p>
    <w:p w:rsidR="001A65BE" w:rsidRDefault="001A65BE" w:rsidP="00494D62">
      <w:pPr>
        <w:spacing w:line="400" w:lineRule="exact"/>
        <w:ind w:firstLine="480"/>
        <w:rPr>
          <w:rFonts w:ascii="宋体"/>
          <w:sz w:val="24"/>
          <w:szCs w:val="24"/>
        </w:rPr>
      </w:pPr>
      <w:r>
        <w:rPr>
          <w:rFonts w:ascii="宋体" w:hAnsi="宋体"/>
          <w:sz w:val="24"/>
          <w:szCs w:val="24"/>
        </w:rPr>
        <w:t>3</w:t>
      </w:r>
      <w:r>
        <w:rPr>
          <w:rFonts w:ascii="宋体" w:hAnsi="宋体" w:hint="eastAsia"/>
          <w:sz w:val="24"/>
          <w:szCs w:val="24"/>
        </w:rPr>
        <w:t>、选择题第</w:t>
      </w:r>
      <w:r>
        <w:rPr>
          <w:rFonts w:ascii="宋体" w:hAnsi="宋体"/>
          <w:sz w:val="24"/>
          <w:szCs w:val="24"/>
        </w:rPr>
        <w:t>23</w:t>
      </w:r>
      <w:r>
        <w:rPr>
          <w:rFonts w:ascii="宋体" w:hAnsi="宋体" w:hint="eastAsia"/>
          <w:sz w:val="24"/>
          <w:szCs w:val="24"/>
        </w:rPr>
        <w:t>题，从四幅图中选择最有可能变质的酸奶。这道题要求学生理解变质的原因是微生物的生长和繁殖，并且能够辨认出微生物生长繁殖的特征。从这题可以看出目前生物学考试越来越注重知识点与生活的联系，要求学生能够运用生物知识解释生活中的现象。</w:t>
      </w:r>
    </w:p>
    <w:p w:rsidR="001A65BE" w:rsidRDefault="001A65BE" w:rsidP="00494D62">
      <w:pPr>
        <w:spacing w:line="400" w:lineRule="exact"/>
        <w:ind w:firstLine="480"/>
        <w:rPr>
          <w:rFonts w:ascii="宋体"/>
          <w:sz w:val="24"/>
          <w:szCs w:val="24"/>
        </w:rPr>
      </w:pPr>
      <w:r>
        <w:rPr>
          <w:rFonts w:ascii="宋体" w:hAnsi="宋体" w:hint="eastAsia"/>
          <w:sz w:val="24"/>
          <w:szCs w:val="24"/>
        </w:rPr>
        <w:t>总体来说本次考试有以下特点。</w:t>
      </w:r>
    </w:p>
    <w:p w:rsidR="001A65BE" w:rsidRPr="00494D62" w:rsidRDefault="001A65BE" w:rsidP="00494D62">
      <w:pPr>
        <w:spacing w:line="400" w:lineRule="exact"/>
        <w:ind w:firstLine="480"/>
        <w:rPr>
          <w:rFonts w:ascii="宋体"/>
          <w:sz w:val="24"/>
          <w:szCs w:val="24"/>
        </w:rPr>
      </w:pPr>
      <w:r w:rsidRPr="00494D62">
        <w:rPr>
          <w:rFonts w:ascii="宋体" w:hAnsi="宋体" w:hint="eastAsia"/>
          <w:sz w:val="24"/>
          <w:szCs w:val="24"/>
        </w:rPr>
        <w:t>首先，知识的覆盖面广，其中考试内容既包括考纲要求的内容又包括考纲没有要求但是对学生生活知识有拓展的内容。</w:t>
      </w:r>
    </w:p>
    <w:p w:rsidR="001A65BE" w:rsidRPr="00494D62" w:rsidRDefault="001A65BE" w:rsidP="00494D62">
      <w:pPr>
        <w:spacing w:line="400" w:lineRule="exact"/>
        <w:ind w:firstLine="480"/>
        <w:rPr>
          <w:rFonts w:ascii="宋体"/>
          <w:sz w:val="24"/>
          <w:szCs w:val="24"/>
        </w:rPr>
      </w:pPr>
      <w:r w:rsidRPr="00494D62">
        <w:rPr>
          <w:rFonts w:ascii="宋体" w:hAnsi="宋体" w:hint="eastAsia"/>
          <w:sz w:val="24"/>
          <w:szCs w:val="24"/>
        </w:rPr>
        <w:t>第二，试卷考试题型难易结合，考试既有的送分题目又有需要学生思考的题目，保证所有学生能做，都能得一定的分数。</w:t>
      </w:r>
    </w:p>
    <w:p w:rsidR="001A65BE" w:rsidRPr="00494D62" w:rsidRDefault="001A65BE" w:rsidP="00494D62">
      <w:pPr>
        <w:spacing w:line="400" w:lineRule="exact"/>
        <w:ind w:firstLine="480"/>
        <w:rPr>
          <w:rFonts w:ascii="宋体"/>
          <w:sz w:val="24"/>
          <w:szCs w:val="24"/>
        </w:rPr>
      </w:pPr>
      <w:r w:rsidRPr="00494D62">
        <w:rPr>
          <w:rFonts w:ascii="宋体" w:hAnsi="宋体" w:hint="eastAsia"/>
          <w:sz w:val="24"/>
          <w:szCs w:val="24"/>
        </w:rPr>
        <w:t>第三，注重能力考查，要求学生对所学的课程内容融会贯通，在理解的基础上利用必要的基础知识，基本技能进行综合分析，主要考查学生的理解能力、综合运用能力等。</w:t>
      </w:r>
    </w:p>
    <w:p w:rsidR="001A65BE" w:rsidRPr="00494D62" w:rsidRDefault="001A65BE" w:rsidP="00494D62">
      <w:pPr>
        <w:spacing w:line="400" w:lineRule="exact"/>
        <w:ind w:firstLine="480"/>
        <w:rPr>
          <w:rFonts w:ascii="宋体"/>
          <w:sz w:val="24"/>
          <w:szCs w:val="24"/>
        </w:rPr>
      </w:pPr>
      <w:r w:rsidRPr="00494D62">
        <w:rPr>
          <w:rFonts w:ascii="宋体" w:hAnsi="宋体" w:hint="eastAsia"/>
          <w:sz w:val="24"/>
          <w:szCs w:val="24"/>
        </w:rPr>
        <w:t>三、反思及措施</w:t>
      </w:r>
    </w:p>
    <w:p w:rsidR="001A65BE" w:rsidRPr="00494D62" w:rsidRDefault="001A65BE" w:rsidP="00494D62">
      <w:pPr>
        <w:spacing w:line="400" w:lineRule="exact"/>
        <w:ind w:firstLine="480"/>
        <w:rPr>
          <w:rFonts w:ascii="宋体"/>
          <w:sz w:val="24"/>
          <w:szCs w:val="24"/>
        </w:rPr>
      </w:pPr>
      <w:r w:rsidRPr="00494D62">
        <w:rPr>
          <w:rFonts w:ascii="宋体" w:hAnsi="宋体"/>
          <w:sz w:val="24"/>
          <w:szCs w:val="24"/>
        </w:rPr>
        <w:t>1</w:t>
      </w:r>
      <w:r w:rsidRPr="00494D62">
        <w:rPr>
          <w:rFonts w:ascii="宋体" w:hAnsi="宋体" w:hint="eastAsia"/>
          <w:sz w:val="24"/>
          <w:szCs w:val="24"/>
        </w:rPr>
        <w:t>、关注全体学生，注意调动学生学习积极性</w:t>
      </w:r>
      <w:r w:rsidRPr="00494D62">
        <w:rPr>
          <w:rFonts w:ascii="宋体" w:hAnsi="宋体" w:hint="eastAsia"/>
          <w:sz w:val="24"/>
          <w:szCs w:val="24"/>
        </w:rPr>
        <w:t> </w:t>
      </w:r>
    </w:p>
    <w:p w:rsidR="001A65BE" w:rsidRPr="00494D62" w:rsidRDefault="001A65BE" w:rsidP="00494D62">
      <w:pPr>
        <w:spacing w:line="400" w:lineRule="exact"/>
        <w:ind w:firstLine="480"/>
        <w:rPr>
          <w:rFonts w:ascii="宋体"/>
          <w:sz w:val="24"/>
          <w:szCs w:val="24"/>
        </w:rPr>
      </w:pPr>
      <w:r w:rsidRPr="00494D62">
        <w:rPr>
          <w:rFonts w:ascii="宋体" w:hAnsi="宋体" w:hint="eastAsia"/>
          <w:sz w:val="24"/>
          <w:szCs w:val="24"/>
        </w:rPr>
        <w:t>教师要关注全体、尊重每一名学生，相信学生的能力。教学上应多激励，少指责，耐心引导学生思考。教师要根据学生思想变化的具体情况，选择最恰当的时机，结合具体的学习内容激励学生，使他们自觉自愿努力学好生物学。</w:t>
      </w:r>
      <w:r w:rsidRPr="00494D62">
        <w:rPr>
          <w:rFonts w:ascii="宋体" w:hAnsi="宋体" w:hint="eastAsia"/>
          <w:sz w:val="24"/>
          <w:szCs w:val="24"/>
        </w:rPr>
        <w:t> </w:t>
      </w:r>
    </w:p>
    <w:p w:rsidR="001A65BE" w:rsidRPr="00494D62" w:rsidRDefault="001A65BE" w:rsidP="00494D62">
      <w:pPr>
        <w:spacing w:line="400" w:lineRule="exact"/>
        <w:ind w:firstLine="480"/>
        <w:rPr>
          <w:rFonts w:ascii="宋体"/>
          <w:sz w:val="24"/>
          <w:szCs w:val="24"/>
        </w:rPr>
      </w:pPr>
      <w:r w:rsidRPr="00494D62">
        <w:rPr>
          <w:rFonts w:ascii="宋体" w:hAnsi="宋体"/>
          <w:sz w:val="24"/>
          <w:szCs w:val="24"/>
        </w:rPr>
        <w:t>2</w:t>
      </w:r>
      <w:r w:rsidRPr="00494D62">
        <w:rPr>
          <w:rFonts w:ascii="宋体" w:hAnsi="宋体" w:hint="eastAsia"/>
          <w:sz w:val="24"/>
          <w:szCs w:val="24"/>
        </w:rPr>
        <w:t>、注重学法指导，强化训练教学规范性</w:t>
      </w:r>
    </w:p>
    <w:p w:rsidR="001A65BE" w:rsidRPr="00494D62" w:rsidRDefault="001A65BE" w:rsidP="00494D62">
      <w:pPr>
        <w:spacing w:line="400" w:lineRule="exact"/>
        <w:ind w:firstLine="480"/>
        <w:rPr>
          <w:rFonts w:ascii="宋体"/>
          <w:sz w:val="24"/>
          <w:szCs w:val="24"/>
        </w:rPr>
      </w:pPr>
      <w:r w:rsidRPr="00494D62">
        <w:rPr>
          <w:rFonts w:ascii="宋体" w:hAnsi="宋体" w:hint="eastAsia"/>
          <w:sz w:val="24"/>
          <w:szCs w:val="24"/>
        </w:rPr>
        <w:t>在教学中教师不仅要注重教法得当，更要注重对学生学法的研究。教师要利用教材中设置的讨论指导学生读书思考，挖掘教材中隐藏的信息，指导学生学会学习。在训练教学中，必须加强规范化训练，注意多给学生留有消化的余地，做到稳扎稳打，狠抓知识和能力双落实，注重强化训练，加强语言表达能力的训练；创设情境，让学生有机会充分暴露错误和薄弱环节，使学生在知错、纠错过程中达到规范训练的目的。</w:t>
      </w:r>
    </w:p>
    <w:p w:rsidR="001A65BE" w:rsidRPr="00494D62" w:rsidRDefault="001A65BE" w:rsidP="00494D62">
      <w:pPr>
        <w:spacing w:line="400" w:lineRule="exact"/>
        <w:ind w:firstLine="480"/>
        <w:rPr>
          <w:rFonts w:ascii="宋体"/>
          <w:sz w:val="24"/>
          <w:szCs w:val="24"/>
        </w:rPr>
      </w:pPr>
      <w:r w:rsidRPr="00494D62">
        <w:rPr>
          <w:rFonts w:ascii="宋体" w:hAnsi="宋体"/>
          <w:sz w:val="24"/>
          <w:szCs w:val="24"/>
        </w:rPr>
        <w:t>3</w:t>
      </w:r>
      <w:r w:rsidRPr="00494D62">
        <w:rPr>
          <w:rFonts w:ascii="宋体" w:hAnsi="宋体" w:hint="eastAsia"/>
          <w:sz w:val="24"/>
          <w:szCs w:val="24"/>
        </w:rPr>
        <w:t>、重视基础知识，提高做题准确性</w:t>
      </w:r>
      <w:r w:rsidRPr="00494D62">
        <w:rPr>
          <w:rFonts w:ascii="宋体" w:hAnsi="宋体" w:hint="eastAsia"/>
          <w:sz w:val="24"/>
          <w:szCs w:val="24"/>
        </w:rPr>
        <w:t> </w:t>
      </w:r>
    </w:p>
    <w:p w:rsidR="001A65BE" w:rsidRPr="00494D62" w:rsidRDefault="001A65BE" w:rsidP="00494D62">
      <w:pPr>
        <w:spacing w:line="400" w:lineRule="exact"/>
        <w:ind w:firstLine="480"/>
        <w:rPr>
          <w:rFonts w:ascii="宋体"/>
          <w:sz w:val="24"/>
          <w:szCs w:val="24"/>
        </w:rPr>
      </w:pPr>
      <w:r w:rsidRPr="00494D62">
        <w:rPr>
          <w:rFonts w:ascii="宋体" w:hAnsi="宋体" w:hint="eastAsia"/>
          <w:sz w:val="24"/>
          <w:szCs w:val="24"/>
        </w:rPr>
        <w:t>对于生物学很多学生都非常感兴趣，在课堂上很积极，课堂气氛很融洽，但是一到答题时马上就错误百出，要么是字写错，要没是没达到点子上，今后要多多加强学生的基础知识，保证学生做一道题对一道题，提高答题的准确性。</w:t>
      </w:r>
      <w:r w:rsidRPr="00494D62">
        <w:rPr>
          <w:rFonts w:ascii="宋体" w:hAnsi="宋体" w:hint="eastAsia"/>
          <w:sz w:val="24"/>
          <w:szCs w:val="24"/>
        </w:rPr>
        <w:t> </w:t>
      </w:r>
    </w:p>
    <w:p w:rsidR="001A65BE" w:rsidRPr="00494D62" w:rsidRDefault="001A65BE" w:rsidP="00494D62">
      <w:pPr>
        <w:spacing w:line="400" w:lineRule="exact"/>
        <w:ind w:firstLine="480"/>
        <w:rPr>
          <w:rFonts w:ascii="宋体"/>
          <w:sz w:val="24"/>
          <w:szCs w:val="24"/>
        </w:rPr>
      </w:pPr>
      <w:r w:rsidRPr="00494D62">
        <w:rPr>
          <w:rFonts w:ascii="宋体" w:hAnsi="宋体"/>
          <w:sz w:val="24"/>
          <w:szCs w:val="24"/>
        </w:rPr>
        <w:t>4</w:t>
      </w:r>
      <w:r w:rsidRPr="00494D62">
        <w:rPr>
          <w:rFonts w:ascii="宋体" w:hAnsi="宋体" w:hint="eastAsia"/>
          <w:sz w:val="24"/>
          <w:szCs w:val="24"/>
        </w:rPr>
        <w:t>、加强对照实验的理解和练习</w:t>
      </w:r>
    </w:p>
    <w:p w:rsidR="001A65BE" w:rsidRPr="00494D62" w:rsidRDefault="001A65BE" w:rsidP="00494D62">
      <w:pPr>
        <w:spacing w:line="400" w:lineRule="exact"/>
        <w:ind w:firstLine="480"/>
        <w:rPr>
          <w:rFonts w:ascii="宋体"/>
          <w:sz w:val="24"/>
          <w:szCs w:val="24"/>
        </w:rPr>
      </w:pPr>
      <w:r w:rsidRPr="00494D62">
        <w:rPr>
          <w:rFonts w:ascii="宋体" w:hAnsi="宋体" w:hint="eastAsia"/>
          <w:sz w:val="24"/>
          <w:szCs w:val="24"/>
        </w:rPr>
        <w:t>实验与探究能力是生物考试大纲中明确要求的几大能力之一，是学生学习中的难点。所以有必要在今后的教学中加强实验的训练。</w:t>
      </w:r>
    </w:p>
    <w:sectPr w:rsidR="001A65BE" w:rsidRPr="00494D62" w:rsidSect="000E138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65BE" w:rsidRDefault="001A65BE" w:rsidP="007F5ED3">
      <w:r>
        <w:separator/>
      </w:r>
    </w:p>
  </w:endnote>
  <w:endnote w:type="continuationSeparator" w:id="0">
    <w:p w:rsidR="001A65BE" w:rsidRDefault="001A65BE" w:rsidP="007F5E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65BE" w:rsidRDefault="001A65BE" w:rsidP="007F5ED3">
      <w:r>
        <w:separator/>
      </w:r>
    </w:p>
  </w:footnote>
  <w:footnote w:type="continuationSeparator" w:id="0">
    <w:p w:rsidR="001A65BE" w:rsidRDefault="001A65BE" w:rsidP="007F5E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EB2"/>
    <w:rsid w:val="000E1381"/>
    <w:rsid w:val="00105902"/>
    <w:rsid w:val="001A65BE"/>
    <w:rsid w:val="00256EB2"/>
    <w:rsid w:val="003F0AA6"/>
    <w:rsid w:val="00494D62"/>
    <w:rsid w:val="005E29AA"/>
    <w:rsid w:val="00641FCD"/>
    <w:rsid w:val="00696316"/>
    <w:rsid w:val="007B6044"/>
    <w:rsid w:val="007F5ED3"/>
    <w:rsid w:val="0090206F"/>
    <w:rsid w:val="00A00CF4"/>
    <w:rsid w:val="00D214C3"/>
    <w:rsid w:val="00E80421"/>
    <w:rsid w:val="00F663F8"/>
    <w:rsid w:val="00FD01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B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EB2"/>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7B6044"/>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7F5ED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F5ED3"/>
    <w:rPr>
      <w:rFonts w:cs="Times New Roman"/>
      <w:sz w:val="18"/>
      <w:szCs w:val="18"/>
    </w:rPr>
  </w:style>
  <w:style w:type="paragraph" w:styleId="Footer">
    <w:name w:val="footer"/>
    <w:basedOn w:val="Normal"/>
    <w:link w:val="FooterChar"/>
    <w:uiPriority w:val="99"/>
    <w:semiHidden/>
    <w:rsid w:val="007F5ED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F5ED3"/>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2</Pages>
  <Words>205</Words>
  <Characters>1173</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6</cp:revision>
  <dcterms:created xsi:type="dcterms:W3CDTF">2018-06-29T05:44:00Z</dcterms:created>
  <dcterms:modified xsi:type="dcterms:W3CDTF">2018-07-05T08:36:00Z</dcterms:modified>
</cp:coreProperties>
</file>