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37" w:rsidRDefault="00CB7437" w:rsidP="00CB7437">
      <w:pPr>
        <w:shd w:val="clear" w:color="auto" w:fill="FFFFFF"/>
        <w:spacing w:line="390" w:lineRule="atLeast"/>
        <w:jc w:val="center"/>
        <w:textAlignment w:val="top"/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b/>
          <w:bCs/>
          <w:color w:val="333333"/>
          <w:sz w:val="29"/>
        </w:rPr>
        <w:t>“农村小学开展‘童话育美’的实践研究”</w:t>
      </w:r>
    </w:p>
    <w:p w:rsidR="00CB7437" w:rsidRDefault="00CB7437" w:rsidP="00CB7437">
      <w:pPr>
        <w:shd w:val="clear" w:color="auto" w:fill="FFFFFF"/>
        <w:spacing w:line="390" w:lineRule="atLeast"/>
        <w:jc w:val="center"/>
        <w:textAlignment w:val="top"/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b/>
          <w:bCs/>
          <w:color w:val="333333"/>
          <w:sz w:val="29"/>
        </w:rPr>
        <w:t>课题研究理论学习记载表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8"/>
        <w:gridCol w:w="4160"/>
        <w:gridCol w:w="1235"/>
        <w:gridCol w:w="2053"/>
      </w:tblGrid>
      <w:tr w:rsidR="00CB7437" w:rsidTr="00CB7437">
        <w:trPr>
          <w:tblCellSpacing w:w="0" w:type="dxa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CB7437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t>学习主题</w:t>
            </w:r>
          </w:p>
        </w:tc>
        <w:tc>
          <w:tcPr>
            <w:tcW w:w="450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8D68EA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t>童话剧中培养孩子的耐挫力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CB7437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   </w:t>
            </w: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t>名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CB7437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t>顾卫华</w:t>
            </w:r>
          </w:p>
        </w:tc>
      </w:tr>
      <w:tr w:rsidR="00CB7437" w:rsidTr="00CB7437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B7437" w:rsidRDefault="00CB7437">
            <w:pPr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B7437" w:rsidRDefault="00CB7437">
            <w:pPr>
              <w:rPr>
                <w:rFonts w:ascii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CB7437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t>学习时间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CB7437" w:rsidP="008D68EA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/>
                <w:bCs/>
                <w:color w:val="333333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.</w:t>
            </w:r>
            <w:r w:rsidR="008D68EA">
              <w:rPr>
                <w:rFonts w:ascii="Times New Roman" w:hAnsi="Times New Roman" w:hint="eastAsia"/>
                <w:b/>
                <w:bCs/>
                <w:color w:val="333333"/>
                <w:sz w:val="24"/>
                <w:szCs w:val="24"/>
              </w:rPr>
              <w:t>4</w:t>
            </w:r>
          </w:p>
        </w:tc>
      </w:tr>
      <w:tr w:rsidR="00CB7437" w:rsidTr="00CB7437">
        <w:trPr>
          <w:tblCellSpacing w:w="0" w:type="dxa"/>
        </w:trPr>
        <w:tc>
          <w:tcPr>
            <w:tcW w:w="11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CB7437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t>内容摘要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8EA" w:rsidRPr="008D68EA" w:rsidRDefault="00CB7437" w:rsidP="008D68EA">
            <w:pPr>
              <w:pStyle w:val="a3"/>
              <w:spacing w:after="0" w:afterAutospacing="0" w:line="375" w:lineRule="atLeast"/>
              <w:ind w:firstLineChars="200" w:firstLine="482"/>
              <w:contextualSpacing/>
              <w:rPr>
                <w:rFonts w:eastAsia="微软雅黑" w:hint="eastAsia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2"/>
              </w:rPr>
              <w:t> </w:t>
            </w:r>
            <w:r w:rsidR="008D68EA" w:rsidRPr="008D68EA">
              <w:rPr>
                <w:rFonts w:eastAsia="微软雅黑" w:hint="eastAsia"/>
                <w:color w:val="000000"/>
              </w:rPr>
              <w:t>如何帮助孩子们克服这些困难，提升耐挫能力呢？下面就是我们采取的一些办法。</w:t>
            </w:r>
          </w:p>
          <w:p w:rsidR="008D68EA" w:rsidRPr="008D68EA" w:rsidRDefault="008D68EA" w:rsidP="008D68EA">
            <w:pPr>
              <w:pStyle w:val="a3"/>
              <w:spacing w:after="0" w:afterAutospacing="0" w:line="375" w:lineRule="atLeast"/>
              <w:ind w:firstLineChars="200" w:firstLine="480"/>
              <w:contextualSpacing/>
              <w:rPr>
                <w:rFonts w:eastAsia="微软雅黑" w:hint="eastAsia"/>
                <w:color w:val="000000"/>
              </w:rPr>
            </w:pPr>
            <w:r w:rsidRPr="008D68EA">
              <w:rPr>
                <w:rFonts w:eastAsia="微软雅黑" w:hint="eastAsia"/>
                <w:color w:val="000000"/>
              </w:rPr>
              <w:t>一、通过阅读童话故事，培养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的耐挫能力</w:t>
            </w:r>
          </w:p>
          <w:p w:rsidR="008D68EA" w:rsidRPr="008D68EA" w:rsidRDefault="008D68EA" w:rsidP="008D68EA">
            <w:pPr>
              <w:pStyle w:val="a3"/>
              <w:spacing w:after="0" w:afterAutospacing="0" w:line="375" w:lineRule="atLeast"/>
              <w:ind w:firstLineChars="200" w:firstLine="480"/>
              <w:contextualSpacing/>
              <w:rPr>
                <w:rFonts w:eastAsia="微软雅黑" w:hint="eastAsia"/>
                <w:color w:val="000000"/>
              </w:rPr>
            </w:pPr>
            <w:r w:rsidRPr="008D68EA">
              <w:rPr>
                <w:rFonts w:eastAsia="微软雅黑" w:hint="eastAsia"/>
                <w:color w:val="000000"/>
              </w:rPr>
              <w:t>老师应该帮助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确立自我意识，使其正确地估计自己和别人的能力，恰当地认识和处理自己和周围人之间的关系，培养坚强的意志和自我调节的良好心理品质，正确面对遇到的挫折，帮助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能顺利地步入心理健康发展的轨道。</w:t>
            </w:r>
          </w:p>
          <w:p w:rsidR="008D68EA" w:rsidRPr="008D68EA" w:rsidRDefault="008D68EA" w:rsidP="008D68EA">
            <w:pPr>
              <w:pStyle w:val="a3"/>
              <w:spacing w:after="0" w:afterAutospacing="0" w:line="375" w:lineRule="atLeast"/>
              <w:ind w:firstLineChars="200" w:firstLine="480"/>
              <w:contextualSpacing/>
              <w:rPr>
                <w:rFonts w:eastAsia="微软雅黑" w:hint="eastAsia"/>
                <w:color w:val="000000"/>
              </w:rPr>
            </w:pPr>
            <w:r w:rsidRPr="008D68EA">
              <w:rPr>
                <w:rFonts w:eastAsia="微软雅黑" w:hint="eastAsia"/>
                <w:color w:val="000000"/>
              </w:rPr>
              <w:t>二、通过童话剧表演，提升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的耐挫能力</w:t>
            </w:r>
          </w:p>
          <w:p w:rsidR="008D68EA" w:rsidRPr="008D68EA" w:rsidRDefault="008D68EA" w:rsidP="008D68EA">
            <w:pPr>
              <w:pStyle w:val="a3"/>
              <w:spacing w:after="0" w:afterAutospacing="0" w:line="375" w:lineRule="atLeast"/>
              <w:ind w:firstLineChars="200" w:firstLine="480"/>
              <w:contextualSpacing/>
              <w:rPr>
                <w:rFonts w:eastAsia="微软雅黑" w:hint="eastAsia"/>
                <w:color w:val="000000"/>
              </w:rPr>
            </w:pP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都喜欢表演故事里的角色，这时我就采取自选和推进的方式帮助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选择适合自己的角色，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自选后，我再根据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的不同水平及心理存在的缺陷，适当调整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选角色。如：董悦小朋友胆小怕事好哭，我就让她扮演《小羊和狼》里的小羊，用小猪的话激励她：“小羊，以后虎，遇到困难总是回避，不肯面对或马虎应付，我就让他扮演《小猫钓鱼》里的小猫，猫妈妈教育他：“做事要‘一心一意’，不要‘三心二意’……”。</w:t>
            </w:r>
          </w:p>
          <w:p w:rsidR="008D68EA" w:rsidRPr="008D68EA" w:rsidRDefault="008D68EA" w:rsidP="008D68EA">
            <w:pPr>
              <w:pStyle w:val="a3"/>
              <w:spacing w:after="0" w:afterAutospacing="0" w:line="375" w:lineRule="atLeast"/>
              <w:ind w:firstLineChars="200" w:firstLine="480"/>
              <w:contextualSpacing/>
              <w:rPr>
                <w:rFonts w:eastAsia="微软雅黑" w:hint="eastAsia"/>
                <w:color w:val="000000"/>
              </w:rPr>
            </w:pPr>
            <w:r w:rsidRPr="008D68EA">
              <w:rPr>
                <w:rFonts w:eastAsia="微软雅黑" w:hint="eastAsia"/>
                <w:color w:val="000000"/>
              </w:rPr>
              <w:t>三、在童话游戏中多与同伴交往，增强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的耐挫能力</w:t>
            </w:r>
          </w:p>
          <w:p w:rsidR="008D68EA" w:rsidRPr="008D68EA" w:rsidRDefault="008D68EA" w:rsidP="008D68EA">
            <w:pPr>
              <w:pStyle w:val="a3"/>
              <w:spacing w:after="0" w:afterAutospacing="0" w:line="375" w:lineRule="atLeast"/>
              <w:ind w:firstLineChars="200" w:firstLine="480"/>
              <w:contextualSpacing/>
              <w:rPr>
                <w:rFonts w:eastAsia="微软雅黑" w:hint="eastAsia"/>
                <w:color w:val="000000"/>
              </w:rPr>
            </w:pPr>
            <w:r w:rsidRPr="008D68EA">
              <w:rPr>
                <w:rFonts w:eastAsia="微软雅黑" w:hint="eastAsia"/>
                <w:color w:val="000000"/>
              </w:rPr>
              <w:t>1.</w:t>
            </w:r>
            <w:r w:rsidRPr="008D68EA">
              <w:rPr>
                <w:rFonts w:eastAsia="微软雅黑" w:hint="eastAsia"/>
                <w:color w:val="000000"/>
              </w:rPr>
              <w:t>与同伴交往可以使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发现与自己不同的观点，从而更好地认识他人和自己，克服自我为中心。在同伴群体中，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往往会经历一些挫折，如观点不一致，屈从与被领导的地位等，这样他必然要在不断的磨练中学会如何友好相处，如何合作，从而更好地在同伴中保持自己的地位，而这种磨练有助于提高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的耐挫力。另一方面，同伴之间的相互交流和指导，也能够帮助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更好地克服困难、解决问题。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对角色游戏有着浓厚的兴趣。开展角色游戏，能提供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获得社会交往能力地机会，面对困难和挫折，学习共同商议，互相合作，互相配合，解决实际遇到的困难，在一次又一次的解决困难中增强他们的耐挫能力。</w:t>
            </w:r>
          </w:p>
          <w:p w:rsidR="008D68EA" w:rsidRPr="008D68EA" w:rsidRDefault="008D68EA" w:rsidP="008D68EA">
            <w:pPr>
              <w:pStyle w:val="a3"/>
              <w:spacing w:after="0" w:afterAutospacing="0" w:line="375" w:lineRule="atLeast"/>
              <w:ind w:firstLineChars="200" w:firstLine="480"/>
              <w:contextualSpacing/>
              <w:rPr>
                <w:rFonts w:eastAsia="微软雅黑" w:hint="eastAsia"/>
                <w:color w:val="000000"/>
              </w:rPr>
            </w:pPr>
            <w:r w:rsidRPr="008D68EA">
              <w:rPr>
                <w:rFonts w:eastAsia="微软雅黑" w:hint="eastAsia"/>
                <w:color w:val="000000"/>
              </w:rPr>
              <w:t>2.</w:t>
            </w:r>
            <w:r w:rsidRPr="008D68EA">
              <w:rPr>
                <w:rFonts w:eastAsia="微软雅黑" w:hint="eastAsia"/>
                <w:color w:val="000000"/>
              </w:rPr>
              <w:t>在游戏中发挥榜样作用，增强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的耐挫能力。对于以模仿</w:t>
            </w:r>
            <w:r w:rsidRPr="008D68EA">
              <w:rPr>
                <w:rFonts w:eastAsia="微软雅黑" w:hint="eastAsia"/>
                <w:color w:val="000000"/>
              </w:rPr>
              <w:lastRenderedPageBreak/>
              <w:t>为天性的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来说，榜样的力量是无穷的。因此，我们可以在游戏中经常给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提供可供模仿的勇于战胜挫折的榜样，来加深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对挫折与困难的认识，激起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内在的上进热情，进而转化为战胜困难、取得成功的信心、勇气和毅力。抓住同伴的良好行为，利用榜样的力量进行教育，对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增强挫折能力很有效。另外家长和教师要以身作则，起表率作用，因为在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的眼里，父母和老师的形象非常高大，无所不能，成人在困难和挫折面前所表现出来的态度对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的影响非常大，所以成人在遇到困难和挫折时，一定要冷静、勇敢，成人对待挫折的态度、反应、行为等对孩子都会起到潜移默化的熏陶和影响。</w:t>
            </w:r>
          </w:p>
          <w:p w:rsidR="00CB7437" w:rsidRDefault="008D68EA" w:rsidP="008D68EA">
            <w:pPr>
              <w:pStyle w:val="a3"/>
              <w:spacing w:before="0" w:beforeAutospacing="0" w:after="0" w:afterAutospacing="0" w:line="375" w:lineRule="atLeast"/>
              <w:ind w:firstLineChars="200" w:firstLine="480"/>
              <w:contextualSpacing/>
              <w:rPr>
                <w:color w:val="000000"/>
                <w:kern w:val="2"/>
              </w:rPr>
            </w:pPr>
            <w:r w:rsidRPr="008D68EA">
              <w:rPr>
                <w:rFonts w:eastAsia="微软雅黑" w:hint="eastAsia"/>
                <w:color w:val="000000"/>
              </w:rPr>
              <w:t>3.</w:t>
            </w:r>
            <w:r w:rsidRPr="008D68EA">
              <w:rPr>
                <w:rFonts w:eastAsia="微软雅黑" w:hint="eastAsia"/>
                <w:color w:val="000000"/>
              </w:rPr>
              <w:t>利用挫折游戏情境，增强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的耐挫能力。许多挫折是现实生活中不常遇到的。主动创设挫折游戏情境更具有预防性和针对性，能弥补自然挫折情境的不足。为了提高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对挫折承受能力，我们可设置难度不等的游戏情境，让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逐步经受磨练，有目的地去培养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的耐挫力</w:t>
            </w:r>
            <w:r w:rsidRPr="008D68EA">
              <w:rPr>
                <w:rFonts w:eastAsia="微软雅黑" w:hint="eastAsia"/>
                <w:color w:val="000000"/>
              </w:rPr>
              <w:t>,</w:t>
            </w:r>
            <w:r w:rsidRPr="008D68EA">
              <w:rPr>
                <w:rFonts w:eastAsia="微软雅黑" w:hint="eastAsia"/>
                <w:color w:val="000000"/>
              </w:rPr>
              <w:t>以此锻炼</w:t>
            </w:r>
            <w:r w:rsidRPr="008D68EA">
              <w:rPr>
                <w:rFonts w:eastAsia="微软雅黑" w:hint="eastAsia"/>
                <w:color w:val="000000"/>
              </w:rPr>
              <w:t>孩子们</w:t>
            </w:r>
            <w:r w:rsidRPr="008D68EA">
              <w:rPr>
                <w:rFonts w:eastAsia="微软雅黑" w:hint="eastAsia"/>
                <w:color w:val="000000"/>
              </w:rPr>
              <w:t>的意志。</w:t>
            </w:r>
          </w:p>
        </w:tc>
      </w:tr>
      <w:tr w:rsidR="00CB7437" w:rsidTr="00CB7437">
        <w:trPr>
          <w:tblCellSpacing w:w="0" w:type="dxa"/>
        </w:trPr>
        <w:tc>
          <w:tcPr>
            <w:tcW w:w="11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CB7437">
            <w:pPr>
              <w:spacing w:line="390" w:lineRule="atLeast"/>
              <w:jc w:val="center"/>
              <w:textAlignment w:val="top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4"/>
                <w:szCs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7437" w:rsidRDefault="008D68EA" w:rsidP="008D68EA">
            <w:pPr>
              <w:spacing w:line="390" w:lineRule="atLeast"/>
              <w:ind w:firstLine="480"/>
              <w:jc w:val="both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D68EA">
              <w:rPr>
                <w:rFonts w:ascii="宋体" w:hAnsi="宋体" w:cs="宋体" w:hint="eastAsia"/>
                <w:color w:val="000000"/>
                <w:sz w:val="24"/>
                <w:szCs w:val="24"/>
              </w:rPr>
              <w:t>童话剧是以童话为内容，戏剧为形式创作的故事。童话剧以其生动、形象、直观、有趣、寓教于乐，集科学、艺术、创造力和想象力等多方面特点于一体，深受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孩子们</w:t>
            </w:r>
            <w:r w:rsidRPr="008D68EA">
              <w:rPr>
                <w:rFonts w:ascii="宋体" w:hAnsi="宋体" w:cs="宋体" w:hint="eastAsia"/>
                <w:color w:val="000000"/>
                <w:sz w:val="24"/>
                <w:szCs w:val="24"/>
              </w:rPr>
              <w:t>的喜欢。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小学时期</w:t>
            </w:r>
            <w:r w:rsidRPr="008D68EA">
              <w:rPr>
                <w:rFonts w:ascii="宋体" w:hAnsi="宋体" w:cs="宋体" w:hint="eastAsia"/>
                <w:color w:val="000000"/>
                <w:sz w:val="24"/>
                <w:szCs w:val="24"/>
              </w:rPr>
              <w:t>是塑造良好性格形成的重要时期，他们的健康心理发展受其环境、兴趣等方面的影响。因此，耐挫能力的培养，需要一种快乐自主的实践活动，而童话剧是通过丰富的想象、幻想、及夸张编写和演艺出的适合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小学生</w:t>
            </w:r>
            <w:r w:rsidRPr="008D68EA">
              <w:rPr>
                <w:rFonts w:ascii="宋体" w:hAnsi="宋体" w:cs="宋体" w:hint="eastAsia"/>
                <w:color w:val="000000"/>
                <w:sz w:val="24"/>
                <w:szCs w:val="24"/>
              </w:rPr>
              <w:t>欣赏的剧目，通过童话剧的表演活动能为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孩子们</w:t>
            </w:r>
            <w:r w:rsidRPr="008D68EA">
              <w:rPr>
                <w:rFonts w:ascii="宋体" w:hAnsi="宋体" w:cs="宋体" w:hint="eastAsia"/>
                <w:color w:val="000000"/>
                <w:sz w:val="24"/>
                <w:szCs w:val="24"/>
              </w:rPr>
              <w:t>创造了良好的耐挫环境</w:t>
            </w:r>
            <w:r w:rsidRPr="008D68EA">
              <w:rPr>
                <w:rFonts w:ascii="宋体" w:hAnsi="宋体" w:cs="宋体" w:hint="eastAsia"/>
                <w:color w:val="000000"/>
                <w:sz w:val="24"/>
                <w:szCs w:val="24"/>
              </w:rPr>
              <w:t>,</w:t>
            </w:r>
            <w:r w:rsidRPr="008D68EA">
              <w:rPr>
                <w:rFonts w:ascii="宋体" w:hAnsi="宋体" w:cs="宋体" w:hint="eastAsia"/>
                <w:color w:val="000000"/>
                <w:sz w:val="24"/>
                <w:szCs w:val="24"/>
              </w:rPr>
              <w:t>让他们在活动中提升耐挫能力。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900" w:rsidRDefault="00FD0900" w:rsidP="008D68EA">
      <w:pPr>
        <w:spacing w:after="0"/>
      </w:pPr>
      <w:r>
        <w:separator/>
      </w:r>
    </w:p>
  </w:endnote>
  <w:endnote w:type="continuationSeparator" w:id="0">
    <w:p w:rsidR="00FD0900" w:rsidRDefault="00FD0900" w:rsidP="008D68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900" w:rsidRDefault="00FD0900" w:rsidP="008D68EA">
      <w:pPr>
        <w:spacing w:after="0"/>
      </w:pPr>
      <w:r>
        <w:separator/>
      </w:r>
    </w:p>
  </w:footnote>
  <w:footnote w:type="continuationSeparator" w:id="0">
    <w:p w:rsidR="00FD0900" w:rsidRDefault="00FD0900" w:rsidP="008D68E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57E3B"/>
    <w:rsid w:val="00890249"/>
    <w:rsid w:val="008B7726"/>
    <w:rsid w:val="008D68EA"/>
    <w:rsid w:val="00CB7437"/>
    <w:rsid w:val="00D31D50"/>
    <w:rsid w:val="00FD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43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D68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68E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68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68EA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D68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2018-06-22T00:48:00Z</dcterms:modified>
</cp:coreProperties>
</file>