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37" w:rsidRDefault="00CB7437" w:rsidP="00CB7437">
      <w:pPr>
        <w:shd w:val="clear" w:color="auto" w:fill="FFFFFF"/>
        <w:spacing w:line="390" w:lineRule="atLeast"/>
        <w:jc w:val="center"/>
        <w:textAlignment w:val="top"/>
        <w:rPr>
          <w:rFonts w:ascii="宋体" w:hAnsi="宋体" w:cs="宋体"/>
          <w:color w:val="333333"/>
          <w:szCs w:val="21"/>
        </w:rPr>
      </w:pPr>
      <w:r>
        <w:rPr>
          <w:rFonts w:ascii="宋体" w:hAnsi="宋体" w:cs="宋体" w:hint="eastAsia"/>
          <w:b/>
          <w:bCs/>
          <w:color w:val="333333"/>
          <w:sz w:val="29"/>
        </w:rPr>
        <w:t>“农村小学开展‘童话育美’的实践研究”</w:t>
      </w:r>
    </w:p>
    <w:p w:rsidR="00CB7437" w:rsidRDefault="00CB7437" w:rsidP="00CB7437">
      <w:pPr>
        <w:shd w:val="clear" w:color="auto" w:fill="FFFFFF"/>
        <w:spacing w:line="390" w:lineRule="atLeast"/>
        <w:jc w:val="center"/>
        <w:textAlignment w:val="top"/>
        <w:rPr>
          <w:rFonts w:ascii="宋体" w:hAnsi="宋体" w:cs="宋体"/>
          <w:color w:val="333333"/>
          <w:szCs w:val="21"/>
        </w:rPr>
      </w:pPr>
      <w:r>
        <w:rPr>
          <w:rFonts w:ascii="宋体" w:hAnsi="宋体" w:cs="宋体" w:hint="eastAsia"/>
          <w:b/>
          <w:bCs/>
          <w:color w:val="333333"/>
          <w:sz w:val="29"/>
        </w:rPr>
        <w:t>课题研究理论学习记载表</w:t>
      </w:r>
    </w:p>
    <w:tbl>
      <w:tblPr>
        <w:tblW w:w="0" w:type="auto"/>
        <w:tblCellSpacing w:w="0" w:type="dxa"/>
        <w:shd w:val="clear" w:color="auto" w:fill="FFFFFF"/>
        <w:tblCellMar>
          <w:left w:w="0" w:type="dxa"/>
          <w:right w:w="0" w:type="dxa"/>
        </w:tblCellMar>
        <w:tblLook w:val="04A0"/>
      </w:tblPr>
      <w:tblGrid>
        <w:gridCol w:w="1128"/>
        <w:gridCol w:w="4160"/>
        <w:gridCol w:w="1235"/>
        <w:gridCol w:w="2053"/>
      </w:tblGrid>
      <w:tr w:rsidR="00CB7437" w:rsidTr="00CB7437">
        <w:trPr>
          <w:tblCellSpacing w:w="0" w:type="dxa"/>
        </w:trPr>
        <w:tc>
          <w:tcPr>
            <w:tcW w:w="1185" w:type="dxa"/>
            <w:vMerge w:val="restart"/>
            <w:tcBorders>
              <w:top w:val="single" w:sz="12" w:space="0" w:color="auto"/>
              <w:left w:val="single" w:sz="12" w:space="0" w:color="auto"/>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CB7437">
            <w:pPr>
              <w:spacing w:line="390" w:lineRule="atLeast"/>
              <w:jc w:val="center"/>
              <w:textAlignment w:val="top"/>
              <w:rPr>
                <w:rFonts w:ascii="宋体" w:hAnsi="宋体" w:cs="宋体"/>
                <w:color w:val="333333"/>
                <w:sz w:val="21"/>
                <w:szCs w:val="21"/>
              </w:rPr>
            </w:pPr>
            <w:r>
              <w:rPr>
                <w:rFonts w:ascii="宋体" w:hAnsi="宋体" w:cs="宋体" w:hint="eastAsia"/>
                <w:b/>
                <w:bCs/>
                <w:color w:val="333333"/>
                <w:sz w:val="24"/>
                <w:szCs w:val="24"/>
              </w:rPr>
              <w:t>学习主题</w:t>
            </w:r>
          </w:p>
        </w:tc>
        <w:tc>
          <w:tcPr>
            <w:tcW w:w="4500" w:type="dxa"/>
            <w:vMerge w:val="restart"/>
            <w:tcBorders>
              <w:top w:val="single" w:sz="12" w:space="0" w:color="auto"/>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F76B7F" w:rsidP="00972655">
            <w:pPr>
              <w:spacing w:line="390" w:lineRule="atLeast"/>
              <w:jc w:val="center"/>
              <w:textAlignment w:val="top"/>
              <w:rPr>
                <w:rFonts w:ascii="宋体" w:hAnsi="宋体" w:cs="宋体"/>
                <w:color w:val="333333"/>
                <w:sz w:val="21"/>
                <w:szCs w:val="21"/>
              </w:rPr>
            </w:pPr>
            <w:r>
              <w:rPr>
                <w:rFonts w:ascii="宋体" w:hAnsi="宋体" w:cs="宋体" w:hint="eastAsia"/>
                <w:b/>
                <w:bCs/>
                <w:color w:val="333333"/>
                <w:sz w:val="24"/>
                <w:szCs w:val="24"/>
              </w:rPr>
              <w:t>安徒生童话</w:t>
            </w:r>
            <w:r w:rsidR="00972655">
              <w:rPr>
                <w:rFonts w:ascii="宋体" w:hAnsi="宋体" w:cs="宋体" w:hint="eastAsia"/>
                <w:b/>
                <w:bCs/>
                <w:color w:val="333333"/>
                <w:sz w:val="24"/>
                <w:szCs w:val="24"/>
              </w:rPr>
              <w:t>的认识</w:t>
            </w:r>
          </w:p>
        </w:tc>
        <w:tc>
          <w:tcPr>
            <w:tcW w:w="1260" w:type="dxa"/>
            <w:tcBorders>
              <w:top w:val="single" w:sz="12" w:space="0" w:color="auto"/>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CB7437">
            <w:pPr>
              <w:spacing w:line="390" w:lineRule="atLeast"/>
              <w:jc w:val="center"/>
              <w:textAlignment w:val="top"/>
              <w:rPr>
                <w:rFonts w:ascii="宋体" w:hAnsi="宋体" w:cs="宋体"/>
                <w:color w:val="333333"/>
                <w:sz w:val="21"/>
                <w:szCs w:val="21"/>
              </w:rPr>
            </w:pPr>
            <w:r>
              <w:rPr>
                <w:rFonts w:ascii="宋体" w:hAnsi="宋体" w:cs="宋体" w:hint="eastAsia"/>
                <w:b/>
                <w:bCs/>
                <w:color w:val="333333"/>
                <w:sz w:val="24"/>
                <w:szCs w:val="24"/>
              </w:rPr>
              <w:t>姓</w:t>
            </w:r>
            <w:r>
              <w:rPr>
                <w:rFonts w:ascii="Times New Roman" w:hAnsi="Times New Roman"/>
                <w:b/>
                <w:bCs/>
                <w:color w:val="333333"/>
                <w:sz w:val="24"/>
                <w:szCs w:val="24"/>
              </w:rPr>
              <w:t>    </w:t>
            </w:r>
            <w:r>
              <w:rPr>
                <w:rFonts w:ascii="宋体" w:hAnsi="宋体" w:cs="宋体" w:hint="eastAsia"/>
                <w:b/>
                <w:bCs/>
                <w:color w:val="333333"/>
                <w:sz w:val="24"/>
                <w:szCs w:val="24"/>
              </w:rPr>
              <w:t>名</w:t>
            </w:r>
          </w:p>
        </w:tc>
        <w:tc>
          <w:tcPr>
            <w:tcW w:w="2160" w:type="dxa"/>
            <w:tcBorders>
              <w:top w:val="single" w:sz="12" w:space="0" w:color="auto"/>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CB7437">
            <w:pPr>
              <w:spacing w:line="390" w:lineRule="atLeast"/>
              <w:jc w:val="center"/>
              <w:textAlignment w:val="top"/>
              <w:rPr>
                <w:rFonts w:ascii="宋体" w:hAnsi="宋体" w:cs="宋体"/>
                <w:color w:val="333333"/>
                <w:sz w:val="21"/>
                <w:szCs w:val="21"/>
              </w:rPr>
            </w:pPr>
            <w:r>
              <w:rPr>
                <w:rFonts w:ascii="宋体" w:hAnsi="宋体" w:cs="宋体" w:hint="eastAsia"/>
                <w:b/>
                <w:bCs/>
                <w:color w:val="333333"/>
                <w:sz w:val="24"/>
                <w:szCs w:val="24"/>
              </w:rPr>
              <w:t>顾卫华</w:t>
            </w:r>
          </w:p>
        </w:tc>
      </w:tr>
      <w:tr w:rsidR="00CB7437" w:rsidTr="00CB7437">
        <w:trPr>
          <w:tblCellSpacing w:w="0" w:type="dxa"/>
        </w:trPr>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CB7437" w:rsidRDefault="00CB7437">
            <w:pPr>
              <w:rPr>
                <w:rFonts w:ascii="宋体" w:hAnsi="宋体" w:cs="宋体"/>
                <w:color w:val="333333"/>
                <w:sz w:val="21"/>
                <w:szCs w:val="21"/>
              </w:rPr>
            </w:pPr>
          </w:p>
        </w:tc>
        <w:tc>
          <w:tcPr>
            <w:tcW w:w="0" w:type="auto"/>
            <w:vMerge/>
            <w:tcBorders>
              <w:top w:val="single" w:sz="12" w:space="0" w:color="auto"/>
              <w:left w:val="nil"/>
              <w:bottom w:val="single" w:sz="12" w:space="0" w:color="auto"/>
              <w:right w:val="single" w:sz="12" w:space="0" w:color="auto"/>
            </w:tcBorders>
            <w:shd w:val="clear" w:color="auto" w:fill="FFFFFF"/>
            <w:vAlign w:val="center"/>
            <w:hideMark/>
          </w:tcPr>
          <w:p w:rsidR="00CB7437" w:rsidRDefault="00CB7437">
            <w:pPr>
              <w:rPr>
                <w:rFonts w:ascii="宋体" w:hAnsi="宋体" w:cs="宋体"/>
                <w:color w:val="333333"/>
                <w:sz w:val="21"/>
                <w:szCs w:val="21"/>
              </w:rPr>
            </w:pPr>
          </w:p>
        </w:tc>
        <w:tc>
          <w:tcPr>
            <w:tcW w:w="1260" w:type="dxa"/>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CB7437">
            <w:pPr>
              <w:spacing w:line="390" w:lineRule="atLeast"/>
              <w:jc w:val="center"/>
              <w:textAlignment w:val="top"/>
              <w:rPr>
                <w:rFonts w:ascii="宋体" w:hAnsi="宋体" w:cs="宋体"/>
                <w:color w:val="333333"/>
                <w:sz w:val="21"/>
                <w:szCs w:val="21"/>
              </w:rPr>
            </w:pPr>
            <w:r>
              <w:rPr>
                <w:rFonts w:ascii="宋体" w:hAnsi="宋体" w:cs="宋体" w:hint="eastAsia"/>
                <w:b/>
                <w:bCs/>
                <w:color w:val="333333"/>
                <w:sz w:val="24"/>
                <w:szCs w:val="24"/>
              </w:rPr>
              <w:t>学习时间</w:t>
            </w:r>
          </w:p>
        </w:tc>
        <w:tc>
          <w:tcPr>
            <w:tcW w:w="2160" w:type="dxa"/>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CB7437" w:rsidP="00F76B7F">
            <w:pPr>
              <w:spacing w:line="390" w:lineRule="atLeast"/>
              <w:jc w:val="center"/>
              <w:textAlignment w:val="top"/>
              <w:rPr>
                <w:rFonts w:ascii="宋体" w:hAnsi="宋体" w:cs="宋体"/>
                <w:color w:val="333333"/>
                <w:sz w:val="21"/>
                <w:szCs w:val="21"/>
              </w:rPr>
            </w:pPr>
            <w:r>
              <w:rPr>
                <w:rFonts w:ascii="Times New Roman" w:hAnsi="Times New Roman"/>
                <w:b/>
                <w:bCs/>
                <w:color w:val="333333"/>
                <w:sz w:val="24"/>
                <w:szCs w:val="24"/>
              </w:rPr>
              <w:t>201</w:t>
            </w:r>
            <w:r>
              <w:rPr>
                <w:rFonts w:ascii="Times New Roman" w:hAnsi="Times New Roman" w:hint="eastAsia"/>
                <w:b/>
                <w:bCs/>
                <w:color w:val="333333"/>
                <w:sz w:val="24"/>
                <w:szCs w:val="24"/>
              </w:rPr>
              <w:t>8</w:t>
            </w:r>
            <w:r>
              <w:rPr>
                <w:rFonts w:ascii="Times New Roman" w:hAnsi="Times New Roman"/>
                <w:b/>
                <w:bCs/>
                <w:color w:val="333333"/>
                <w:sz w:val="24"/>
                <w:szCs w:val="24"/>
              </w:rPr>
              <w:t>.</w:t>
            </w:r>
            <w:r w:rsidR="00F76B7F">
              <w:rPr>
                <w:rFonts w:ascii="Times New Roman" w:hAnsi="Times New Roman" w:hint="eastAsia"/>
                <w:b/>
                <w:bCs/>
                <w:color w:val="333333"/>
                <w:sz w:val="24"/>
                <w:szCs w:val="24"/>
              </w:rPr>
              <w:t>5</w:t>
            </w:r>
          </w:p>
        </w:tc>
      </w:tr>
      <w:tr w:rsidR="00CB7437" w:rsidTr="00CB7437">
        <w:trPr>
          <w:tblCellSpacing w:w="0" w:type="dxa"/>
        </w:trPr>
        <w:tc>
          <w:tcPr>
            <w:tcW w:w="1185" w:type="dxa"/>
            <w:tcBorders>
              <w:top w:val="nil"/>
              <w:left w:val="single" w:sz="12" w:space="0" w:color="auto"/>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CB7437">
            <w:pPr>
              <w:spacing w:line="390" w:lineRule="atLeast"/>
              <w:jc w:val="center"/>
              <w:textAlignment w:val="top"/>
              <w:rPr>
                <w:rFonts w:ascii="宋体" w:hAnsi="宋体" w:cs="宋体"/>
                <w:color w:val="333333"/>
                <w:sz w:val="21"/>
                <w:szCs w:val="21"/>
              </w:rPr>
            </w:pPr>
            <w:r>
              <w:rPr>
                <w:rFonts w:ascii="宋体" w:hAnsi="宋体" w:cs="宋体" w:hint="eastAsia"/>
                <w:b/>
                <w:bCs/>
                <w:color w:val="333333"/>
                <w:sz w:val="24"/>
                <w:szCs w:val="24"/>
              </w:rPr>
              <w:t>内容摘要</w:t>
            </w:r>
          </w:p>
        </w:tc>
        <w:tc>
          <w:tcPr>
            <w:tcW w:w="7920" w:type="dxa"/>
            <w:gridSpan w:val="3"/>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C81BAB" w:rsidRDefault="00F76B7F" w:rsidP="00C81BAB">
            <w:pPr>
              <w:spacing w:line="390" w:lineRule="atLeast"/>
              <w:ind w:firstLine="480"/>
              <w:jc w:val="both"/>
              <w:textAlignment w:val="top"/>
              <w:rPr>
                <w:rFonts w:ascii="宋体" w:hAnsi="宋体" w:cs="宋体" w:hint="eastAsia"/>
                <w:color w:val="000000"/>
                <w:sz w:val="24"/>
                <w:szCs w:val="24"/>
              </w:rPr>
            </w:pPr>
            <w:r w:rsidRPr="000D692B">
              <w:rPr>
                <w:rFonts w:ascii="宋体" w:hAnsi="宋体" w:cs="宋体" w:hint="eastAsia"/>
                <w:color w:val="000000"/>
                <w:sz w:val="24"/>
                <w:szCs w:val="24"/>
              </w:rPr>
              <w:t>徒生是一个真正的文体家，他为人类创造了一种抵达诗、抵达自然的新的表达方式。他那卓越的想象力和同情心使得人类创造新的“神话”与“传说”成为可能。在他那看似无所用心的孩童语句里恰恰表达了我们内心最深的渴望。</w:t>
            </w:r>
            <w:r w:rsidRPr="000D692B">
              <w:rPr>
                <w:rFonts w:ascii="宋体" w:hAnsi="宋体" w:cs="宋体" w:hint="eastAsia"/>
                <w:color w:val="000000"/>
                <w:sz w:val="24"/>
                <w:szCs w:val="24"/>
              </w:rPr>
              <w:t xml:space="preserve"> </w:t>
            </w:r>
            <w:r w:rsidRPr="000D692B">
              <w:rPr>
                <w:rFonts w:ascii="宋体" w:hAnsi="宋体" w:cs="宋体" w:hint="eastAsia"/>
                <w:color w:val="000000"/>
                <w:sz w:val="24"/>
                <w:szCs w:val="24"/>
              </w:rPr>
              <w:t>他为自然与童心写歌，为爱与美沉吟，为灵魂的安顿而欣悦，为庸俗与沉沦而喟叹。他的童话故事具有如此强大的影响力，以至于对于事物神奇的品质成为我们内心的一种信仰。即使生命困顿不堪，奇迹仍然有望降临；即使已经老态龙钟，内心的纯洁依然使生命焕发光彩。心灵的力量将使一切善美的事物获得拯救。</w:t>
            </w:r>
            <w:r w:rsidRPr="000D692B">
              <w:rPr>
                <w:rFonts w:ascii="宋体" w:hAnsi="宋体" w:cs="宋体" w:hint="eastAsia"/>
                <w:color w:val="000000"/>
                <w:sz w:val="24"/>
                <w:szCs w:val="24"/>
              </w:rPr>
              <w:t xml:space="preserve"> </w:t>
            </w:r>
          </w:p>
          <w:p w:rsidR="00F76B7F" w:rsidRPr="000D692B" w:rsidRDefault="00F76B7F" w:rsidP="00C81BAB">
            <w:pPr>
              <w:spacing w:line="390" w:lineRule="atLeast"/>
              <w:ind w:firstLine="480"/>
              <w:jc w:val="both"/>
              <w:textAlignment w:val="top"/>
              <w:rPr>
                <w:rFonts w:ascii="宋体" w:hAnsi="宋体" w:cs="宋体" w:hint="eastAsia"/>
                <w:color w:val="000000"/>
                <w:sz w:val="24"/>
                <w:szCs w:val="24"/>
              </w:rPr>
            </w:pPr>
            <w:r w:rsidRPr="000D692B">
              <w:rPr>
                <w:rFonts w:ascii="宋体" w:hAnsi="宋体" w:cs="宋体" w:hint="eastAsia"/>
                <w:color w:val="000000"/>
                <w:sz w:val="24"/>
                <w:szCs w:val="24"/>
              </w:rPr>
              <w:t>安徒生童话所传达的深广的人道主义精神使中国人倍感亲切和温暖。《海的女儿》里小人鱼的形象所具有的爱与牺牲的精神以及为求得一个灵魂所做的艰苦卓绝的努力，使无数中国人为之流泪，为之震撼。小人鱼已不仅是丹麦的象征，也是中国人精神殿堂里的一尊圣像；《卖火柴的小女孩》激起了中国人无边的悲悯情怀，它早已成为中小学教材的一个保留篇目，也成为历代中国儿童文学创作者的一种思路，一个广被采用的题材；《皇帝的新装》在中国家喻户晓，这个故事因其幽默特征、因其对于人性弱点的揭示、也因其对于最高统治者的无情戏弄，赢得了最广泛的中国读者，它已经成为中国的一个成语；《丑小鸭》是另一个成为中国人成语式的故事，丑小鸭先苦后甜的经历、丑小鸭的忍耐、丑小鸭的奋斗、丑小鸭心存高远的志趣对中国人来说具有天然的亲和力，这个作为安徒生本人自我写照的故事，就像人们对于安徒生生平故事一样倍感亲切。安徒生出身底层的奋斗经历，安徒生对于底层人们的深厚同情，乃至安徒生苦难的心路历程，都使二十世纪以来饱经忧患的中国人生出一种“自家人”的亲近之感。</w:t>
            </w:r>
            <w:r w:rsidRPr="000D692B">
              <w:rPr>
                <w:rFonts w:ascii="宋体" w:hAnsi="宋体" w:cs="宋体" w:hint="eastAsia"/>
                <w:color w:val="000000"/>
                <w:sz w:val="24"/>
                <w:szCs w:val="24"/>
              </w:rPr>
              <w:t xml:space="preserve"> </w:t>
            </w:r>
          </w:p>
          <w:p w:rsidR="00CB7437" w:rsidRPr="00F76B7F" w:rsidRDefault="00F76B7F" w:rsidP="000D692B">
            <w:pPr>
              <w:spacing w:line="390" w:lineRule="atLeast"/>
              <w:ind w:firstLine="480"/>
              <w:jc w:val="both"/>
              <w:textAlignment w:val="top"/>
              <w:rPr>
                <w:rFonts w:ascii="Times New Roman" w:hAnsi="Times New Roman" w:cs="Times New Roman"/>
                <w:b/>
                <w:bCs/>
                <w:color w:val="333333"/>
                <w:kern w:val="2"/>
              </w:rPr>
            </w:pPr>
            <w:r w:rsidRPr="000D692B">
              <w:rPr>
                <w:rFonts w:ascii="宋体" w:hAnsi="宋体" w:cs="宋体" w:hint="eastAsia"/>
                <w:color w:val="000000"/>
                <w:sz w:val="24"/>
                <w:szCs w:val="24"/>
              </w:rPr>
              <w:t>而作为一个深谙儿童心理的抒情诗人，安徒生的童话亦给中国孩</w:t>
            </w:r>
            <w:r w:rsidRPr="000D692B">
              <w:rPr>
                <w:rFonts w:ascii="宋体" w:hAnsi="宋体" w:cs="宋体" w:hint="eastAsia"/>
                <w:color w:val="000000"/>
                <w:sz w:val="24"/>
                <w:szCs w:val="24"/>
              </w:rPr>
              <w:lastRenderedPageBreak/>
              <w:t>子带来了无限的想象和乐趣。这些童话故事所具有的美妙、神奇、幽默、感人的美学特征已深深作用于幼年的心灵中，成为温馨迷人的童年记忆的一部分。打火匣的神奇与变幻；拇指姑娘精灵般的形象、离奇的遭际及对爱与美的无限向往之情；卖火柴的小女孩身体所承受的冻饿、精神所承受的孤独以及她的渴望和她在幻境里所感受到的幸福和温暖；爱丽莎与哥哥们的动人亲情及爱丽莎超乎寻常的坚韧意志；丑小鸭成长的痛楚与“化蛹为蝶”后的安慰，小人鱼深沉、内敛、执著、勇敢的情感世界与感人至深的牺牲精神；爱穿新衣的皇帝光着身子游大街的“喜剧感”及“喜剧”背后的人性弱点的展示；老头子、老婆婆出色的憨态、动人的“傻劲”及越走下坡路越欢乐的生活哲学，坚定的小锡兵传奇的流浪生涯与至死不灭的爱情；豌豆上的公主出奇的敏感性等等。这些童话形象交织在一起，共同构成了孩子们对于“安徒生”的印象——亲切柔情，神奇美妙，富于哲思。</w:t>
            </w:r>
            <w:r w:rsidR="00CB7437" w:rsidRPr="000D692B">
              <w:rPr>
                <w:rFonts w:ascii="宋体" w:hAnsi="宋体" w:cs="宋体"/>
                <w:color w:val="000000"/>
                <w:sz w:val="24"/>
                <w:szCs w:val="24"/>
              </w:rPr>
              <w:t> </w:t>
            </w:r>
          </w:p>
        </w:tc>
      </w:tr>
      <w:tr w:rsidR="00CB7437" w:rsidTr="00CB7437">
        <w:trPr>
          <w:tblCellSpacing w:w="0" w:type="dxa"/>
        </w:trPr>
        <w:tc>
          <w:tcPr>
            <w:tcW w:w="1185" w:type="dxa"/>
            <w:tcBorders>
              <w:top w:val="nil"/>
              <w:left w:val="single" w:sz="12" w:space="0" w:color="auto"/>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CB7437">
            <w:pPr>
              <w:spacing w:line="390" w:lineRule="atLeast"/>
              <w:jc w:val="center"/>
              <w:textAlignment w:val="top"/>
              <w:rPr>
                <w:rFonts w:ascii="宋体" w:hAnsi="宋体" w:cs="宋体"/>
                <w:color w:val="333333"/>
                <w:sz w:val="21"/>
                <w:szCs w:val="21"/>
              </w:rPr>
            </w:pPr>
            <w:r>
              <w:rPr>
                <w:rFonts w:ascii="宋体" w:hAnsi="宋体" w:cs="宋体" w:hint="eastAsia"/>
                <w:b/>
                <w:bCs/>
                <w:color w:val="333333"/>
                <w:sz w:val="24"/>
                <w:szCs w:val="24"/>
              </w:rPr>
              <w:lastRenderedPageBreak/>
              <w:t>心得体会</w:t>
            </w:r>
          </w:p>
        </w:tc>
        <w:tc>
          <w:tcPr>
            <w:tcW w:w="7920" w:type="dxa"/>
            <w:gridSpan w:val="3"/>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CB7437" w:rsidRDefault="00F76B7F" w:rsidP="00F76B7F">
            <w:pPr>
              <w:spacing w:line="390" w:lineRule="atLeast"/>
              <w:ind w:firstLine="480"/>
              <w:jc w:val="both"/>
              <w:textAlignment w:val="top"/>
              <w:rPr>
                <w:rFonts w:ascii="宋体" w:hAnsi="宋体" w:cs="宋体"/>
                <w:color w:val="000000"/>
                <w:sz w:val="24"/>
                <w:szCs w:val="24"/>
              </w:rPr>
            </w:pPr>
            <w:r w:rsidRPr="00F76B7F">
              <w:rPr>
                <w:rFonts w:ascii="宋体" w:hAnsi="宋体" w:cs="宋体" w:hint="eastAsia"/>
                <w:color w:val="000000"/>
                <w:sz w:val="24"/>
                <w:szCs w:val="24"/>
              </w:rPr>
              <w:t>在一个价值观迷乱，物质主义、消费主义和享乐主义显赫的时代，在一个孩子与成人的界限日渐模糊，真纯的童年时期越来越缩短的时代，安徒生童话将点醒人们养育孩童纯真性情的重要性。安徒生的童话故事之于我们精神生活的意义恰如法国艺术家波尔·阿扎尔所言：“他跟孩子们一起分享快乐，也藉着孩子的力量更坚定地保护人类，使其不至于灭亡，并把人类引向理想境界。他就是那光明的灯塔。安徒生童话永远不会过时。</w:t>
            </w:r>
            <w:r w:rsidR="00CB7437">
              <w:rPr>
                <w:rFonts w:ascii="宋体" w:hAnsi="宋体" w:cs="宋体" w:hint="eastAsia"/>
                <w:color w:val="000000"/>
                <w:sz w:val="24"/>
                <w:szCs w:val="24"/>
              </w:rPr>
              <w:t>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DDC" w:rsidRDefault="005E2DDC" w:rsidP="00F76B7F">
      <w:pPr>
        <w:spacing w:after="0"/>
      </w:pPr>
      <w:r>
        <w:separator/>
      </w:r>
    </w:p>
  </w:endnote>
  <w:endnote w:type="continuationSeparator" w:id="0">
    <w:p w:rsidR="005E2DDC" w:rsidRDefault="005E2DDC" w:rsidP="00F76B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DDC" w:rsidRDefault="005E2DDC" w:rsidP="00F76B7F">
      <w:pPr>
        <w:spacing w:after="0"/>
      </w:pPr>
      <w:r>
        <w:separator/>
      </w:r>
    </w:p>
  </w:footnote>
  <w:footnote w:type="continuationSeparator" w:id="0">
    <w:p w:rsidR="005E2DDC" w:rsidRDefault="005E2DDC" w:rsidP="00F76B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D692B"/>
    <w:rsid w:val="00323B43"/>
    <w:rsid w:val="003D37D8"/>
    <w:rsid w:val="00426133"/>
    <w:rsid w:val="004358AB"/>
    <w:rsid w:val="005E2DDC"/>
    <w:rsid w:val="006343F9"/>
    <w:rsid w:val="00757E3B"/>
    <w:rsid w:val="008B7726"/>
    <w:rsid w:val="00972655"/>
    <w:rsid w:val="00C81BAB"/>
    <w:rsid w:val="00CB7437"/>
    <w:rsid w:val="00D31D50"/>
    <w:rsid w:val="00F76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437"/>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F76B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F76B7F"/>
    <w:rPr>
      <w:rFonts w:ascii="Tahoma" w:hAnsi="Tahoma"/>
      <w:sz w:val="18"/>
      <w:szCs w:val="18"/>
    </w:rPr>
  </w:style>
  <w:style w:type="paragraph" w:styleId="a5">
    <w:name w:val="footer"/>
    <w:basedOn w:val="a"/>
    <w:link w:val="Char0"/>
    <w:uiPriority w:val="99"/>
    <w:semiHidden/>
    <w:unhideWhenUsed/>
    <w:rsid w:val="00F76B7F"/>
    <w:pPr>
      <w:tabs>
        <w:tab w:val="center" w:pos="4153"/>
        <w:tab w:val="right" w:pos="8306"/>
      </w:tabs>
    </w:pPr>
    <w:rPr>
      <w:sz w:val="18"/>
      <w:szCs w:val="18"/>
    </w:rPr>
  </w:style>
  <w:style w:type="character" w:customStyle="1" w:styleId="Char0">
    <w:name w:val="页脚 Char"/>
    <w:basedOn w:val="a0"/>
    <w:link w:val="a5"/>
    <w:uiPriority w:val="99"/>
    <w:semiHidden/>
    <w:rsid w:val="00F76B7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471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cp:revision>
  <dcterms:created xsi:type="dcterms:W3CDTF">2008-09-11T17:20:00Z</dcterms:created>
  <dcterms:modified xsi:type="dcterms:W3CDTF">2018-06-22T00:55:00Z</dcterms:modified>
</cp:coreProperties>
</file>