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900" w:firstLineChars="250"/>
        <w:rPr>
          <w:rFonts w:ascii="黑体" w:eastAsia="黑体"/>
          <w:sz w:val="36"/>
          <w:szCs w:val="36"/>
        </w:rPr>
      </w:pPr>
      <w:r>
        <w:rPr>
          <w:rFonts w:hint="eastAsia" w:ascii="黑体" w:eastAsia="黑体"/>
          <w:sz w:val="36"/>
          <w:szCs w:val="36"/>
        </w:rPr>
        <w:t>武进区中小学(幼儿园)责任督学月度报告</w:t>
      </w:r>
    </w:p>
    <w:p>
      <w:pPr>
        <w:spacing w:afterLines="50" w:line="480" w:lineRule="exact"/>
        <w:rPr>
          <w:rFonts w:ascii="黑体" w:eastAsia="黑体"/>
          <w:sz w:val="24"/>
          <w:szCs w:val="24"/>
        </w:rPr>
      </w:pPr>
      <w:r>
        <w:rPr>
          <w:rFonts w:hint="eastAsia" w:ascii="黑体" w:eastAsia="黑体"/>
          <w:sz w:val="28"/>
          <w:szCs w:val="28"/>
        </w:rPr>
        <w:t xml:space="preserve"> </w:t>
      </w:r>
      <w:r>
        <w:rPr>
          <w:rFonts w:hint="eastAsia" w:ascii="黑体" w:eastAsia="黑体"/>
          <w:sz w:val="24"/>
        </w:rPr>
        <w:t xml:space="preserve"> </w:t>
      </w:r>
      <w:r>
        <w:rPr>
          <w:rFonts w:hint="eastAsia" w:ascii="黑体" w:eastAsia="黑体"/>
          <w:sz w:val="24"/>
          <w:szCs w:val="24"/>
        </w:rPr>
        <w:t>责任督学</w:t>
      </w:r>
      <w:r>
        <w:rPr>
          <w:rFonts w:hint="eastAsia" w:ascii="黑体" w:eastAsia="黑体"/>
          <w:sz w:val="24"/>
          <w:szCs w:val="24"/>
          <w:u w:val="single"/>
        </w:rPr>
        <w:t xml:space="preserve"> 周华兴  </w:t>
      </w:r>
      <w:r>
        <w:rPr>
          <w:rFonts w:hint="eastAsia" w:ascii="黑体" w:eastAsia="黑体"/>
          <w:sz w:val="24"/>
          <w:szCs w:val="24"/>
        </w:rPr>
        <w:t xml:space="preserve">                                </w:t>
      </w:r>
      <w:r>
        <w:rPr>
          <w:rFonts w:hint="eastAsia" w:ascii="黑体" w:eastAsia="黑体"/>
          <w:sz w:val="24"/>
          <w:szCs w:val="24"/>
          <w:u w:val="single"/>
        </w:rPr>
        <w:t xml:space="preserve">  2018</w:t>
      </w:r>
      <w:r>
        <w:rPr>
          <w:rFonts w:hint="eastAsia" w:ascii="黑体" w:eastAsia="黑体"/>
          <w:sz w:val="24"/>
          <w:szCs w:val="24"/>
        </w:rPr>
        <w:t>年</w:t>
      </w:r>
      <w:r>
        <w:rPr>
          <w:rFonts w:hint="eastAsia" w:ascii="黑体" w:eastAsia="黑体"/>
          <w:sz w:val="24"/>
          <w:szCs w:val="24"/>
          <w:u w:val="single"/>
        </w:rPr>
        <w:t xml:space="preserve"> 3</w:t>
      </w:r>
      <w:r>
        <w:rPr>
          <w:rFonts w:hint="eastAsia" w:ascii="黑体" w:eastAsia="黑体"/>
          <w:sz w:val="24"/>
          <w:szCs w:val="24"/>
        </w:rPr>
        <w:t>月</w:t>
      </w:r>
    </w:p>
    <w:tbl>
      <w:tblPr>
        <w:tblStyle w:val="4"/>
        <w:tblW w:w="8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2168"/>
        <w:gridCol w:w="723"/>
        <w:gridCol w:w="723"/>
        <w:gridCol w:w="723"/>
        <w:gridCol w:w="723"/>
        <w:gridCol w:w="1445"/>
        <w:gridCol w:w="759"/>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trPr>
        <w:tc>
          <w:tcPr>
            <w:tcW w:w="470" w:type="dxa"/>
            <w:vMerge w:val="restart"/>
            <w:vAlign w:val="center"/>
          </w:tcPr>
          <w:p>
            <w:pPr>
              <w:jc w:val="center"/>
              <w:rPr>
                <w:b/>
                <w:sz w:val="24"/>
                <w:szCs w:val="24"/>
              </w:rPr>
            </w:pPr>
            <w:r>
              <w:rPr>
                <w:rFonts w:hint="eastAsia"/>
                <w:b/>
                <w:sz w:val="24"/>
                <w:szCs w:val="24"/>
              </w:rPr>
              <w:t>基本情况</w:t>
            </w:r>
          </w:p>
        </w:tc>
        <w:tc>
          <w:tcPr>
            <w:tcW w:w="2168" w:type="dxa"/>
            <w:vMerge w:val="restart"/>
            <w:vAlign w:val="center"/>
          </w:tcPr>
          <w:p>
            <w:pPr>
              <w:jc w:val="center"/>
              <w:rPr>
                <w:sz w:val="24"/>
                <w:szCs w:val="24"/>
              </w:rPr>
            </w:pPr>
            <w:r>
              <w:rPr>
                <w:rFonts w:hint="eastAsia"/>
                <w:sz w:val="24"/>
                <w:szCs w:val="24"/>
              </w:rPr>
              <w:t>挂牌学校</w:t>
            </w:r>
          </w:p>
        </w:tc>
        <w:tc>
          <w:tcPr>
            <w:tcW w:w="723" w:type="dxa"/>
            <w:vMerge w:val="restart"/>
            <w:vAlign w:val="center"/>
          </w:tcPr>
          <w:p>
            <w:pPr>
              <w:jc w:val="center"/>
              <w:rPr>
                <w:sz w:val="24"/>
                <w:szCs w:val="24"/>
              </w:rPr>
            </w:pPr>
            <w:r>
              <w:rPr>
                <w:rFonts w:hint="eastAsia"/>
                <w:sz w:val="24"/>
                <w:szCs w:val="24"/>
              </w:rPr>
              <w:t>督导次数</w:t>
            </w:r>
          </w:p>
        </w:tc>
        <w:tc>
          <w:tcPr>
            <w:tcW w:w="723" w:type="dxa"/>
            <w:vMerge w:val="restart"/>
            <w:vAlign w:val="center"/>
          </w:tcPr>
          <w:p>
            <w:pPr>
              <w:jc w:val="center"/>
              <w:rPr>
                <w:sz w:val="24"/>
                <w:szCs w:val="24"/>
              </w:rPr>
            </w:pPr>
            <w:r>
              <w:rPr>
                <w:rFonts w:hint="eastAsia"/>
                <w:sz w:val="24"/>
                <w:szCs w:val="24"/>
              </w:rPr>
              <w:t>督导天数</w:t>
            </w:r>
          </w:p>
        </w:tc>
        <w:tc>
          <w:tcPr>
            <w:tcW w:w="723" w:type="dxa"/>
            <w:vMerge w:val="restart"/>
            <w:vAlign w:val="center"/>
          </w:tcPr>
          <w:p>
            <w:pPr>
              <w:jc w:val="center"/>
              <w:rPr>
                <w:sz w:val="24"/>
                <w:szCs w:val="24"/>
              </w:rPr>
            </w:pPr>
            <w:r>
              <w:rPr>
                <w:rFonts w:hint="eastAsia"/>
                <w:sz w:val="24"/>
                <w:szCs w:val="24"/>
              </w:rPr>
              <w:t>听课节数</w:t>
            </w:r>
          </w:p>
        </w:tc>
        <w:tc>
          <w:tcPr>
            <w:tcW w:w="723" w:type="dxa"/>
            <w:vMerge w:val="restart"/>
            <w:vAlign w:val="center"/>
          </w:tcPr>
          <w:p>
            <w:pPr>
              <w:jc w:val="center"/>
              <w:rPr>
                <w:sz w:val="24"/>
                <w:szCs w:val="24"/>
              </w:rPr>
            </w:pPr>
            <w:r>
              <w:rPr>
                <w:rFonts w:hint="eastAsia"/>
                <w:sz w:val="24"/>
                <w:szCs w:val="24"/>
              </w:rPr>
              <w:t>访谈人数</w:t>
            </w:r>
          </w:p>
        </w:tc>
        <w:tc>
          <w:tcPr>
            <w:tcW w:w="1445" w:type="dxa"/>
            <w:vMerge w:val="restart"/>
            <w:vAlign w:val="center"/>
          </w:tcPr>
          <w:p>
            <w:pPr>
              <w:jc w:val="center"/>
              <w:rPr>
                <w:sz w:val="24"/>
                <w:szCs w:val="24"/>
              </w:rPr>
            </w:pPr>
            <w:r>
              <w:rPr>
                <w:rFonts w:hint="eastAsia"/>
                <w:sz w:val="24"/>
                <w:szCs w:val="24"/>
              </w:rPr>
              <w:t>报送督导记录（报告）</w:t>
            </w:r>
          </w:p>
        </w:tc>
        <w:tc>
          <w:tcPr>
            <w:tcW w:w="1626" w:type="dxa"/>
            <w:gridSpan w:val="2"/>
            <w:vAlign w:val="center"/>
          </w:tcPr>
          <w:p>
            <w:pPr>
              <w:rPr>
                <w:sz w:val="24"/>
                <w:szCs w:val="24"/>
              </w:rPr>
            </w:pPr>
            <w:r>
              <w:rPr>
                <w:rFonts w:hint="eastAsia"/>
                <w:sz w:val="24"/>
                <w:szCs w:val="24"/>
              </w:rPr>
              <w:t>主要督导建议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470" w:type="dxa"/>
            <w:vMerge w:val="continue"/>
            <w:vAlign w:val="center"/>
          </w:tcPr>
          <w:p>
            <w:pPr>
              <w:jc w:val="center"/>
              <w:rPr>
                <w:b/>
                <w:sz w:val="24"/>
                <w:szCs w:val="24"/>
              </w:rPr>
            </w:pPr>
          </w:p>
        </w:tc>
        <w:tc>
          <w:tcPr>
            <w:tcW w:w="2168" w:type="dxa"/>
            <w:vMerge w:val="continue"/>
            <w:vAlign w:val="center"/>
          </w:tcPr>
          <w:p>
            <w:pPr>
              <w:jc w:val="center"/>
              <w:rPr>
                <w:sz w:val="24"/>
                <w:szCs w:val="24"/>
              </w:rPr>
            </w:pPr>
          </w:p>
        </w:tc>
        <w:tc>
          <w:tcPr>
            <w:tcW w:w="723" w:type="dxa"/>
            <w:vMerge w:val="continue"/>
            <w:vAlign w:val="center"/>
          </w:tcPr>
          <w:p>
            <w:pPr>
              <w:jc w:val="center"/>
              <w:rPr>
                <w:sz w:val="24"/>
                <w:szCs w:val="24"/>
              </w:rPr>
            </w:pPr>
          </w:p>
        </w:tc>
        <w:tc>
          <w:tcPr>
            <w:tcW w:w="723" w:type="dxa"/>
            <w:vMerge w:val="continue"/>
            <w:vAlign w:val="center"/>
          </w:tcPr>
          <w:p>
            <w:pPr>
              <w:jc w:val="center"/>
              <w:rPr>
                <w:sz w:val="24"/>
                <w:szCs w:val="24"/>
              </w:rPr>
            </w:pPr>
          </w:p>
        </w:tc>
        <w:tc>
          <w:tcPr>
            <w:tcW w:w="723" w:type="dxa"/>
            <w:vMerge w:val="continue"/>
            <w:vAlign w:val="center"/>
          </w:tcPr>
          <w:p>
            <w:pPr>
              <w:jc w:val="center"/>
              <w:rPr>
                <w:sz w:val="24"/>
                <w:szCs w:val="24"/>
              </w:rPr>
            </w:pPr>
          </w:p>
        </w:tc>
        <w:tc>
          <w:tcPr>
            <w:tcW w:w="723" w:type="dxa"/>
            <w:vMerge w:val="continue"/>
            <w:vAlign w:val="center"/>
          </w:tcPr>
          <w:p>
            <w:pPr>
              <w:jc w:val="center"/>
              <w:rPr>
                <w:sz w:val="24"/>
                <w:szCs w:val="24"/>
              </w:rPr>
            </w:pPr>
          </w:p>
        </w:tc>
        <w:tc>
          <w:tcPr>
            <w:tcW w:w="1445" w:type="dxa"/>
            <w:vMerge w:val="continue"/>
            <w:vAlign w:val="center"/>
          </w:tcPr>
          <w:p>
            <w:pPr>
              <w:jc w:val="center"/>
              <w:rPr>
                <w:sz w:val="24"/>
                <w:szCs w:val="24"/>
              </w:rPr>
            </w:pPr>
          </w:p>
        </w:tc>
        <w:tc>
          <w:tcPr>
            <w:tcW w:w="759" w:type="dxa"/>
            <w:vAlign w:val="center"/>
          </w:tcPr>
          <w:p>
            <w:pPr>
              <w:jc w:val="center"/>
              <w:rPr>
                <w:sz w:val="24"/>
                <w:szCs w:val="24"/>
              </w:rPr>
            </w:pPr>
            <w:r>
              <w:rPr>
                <w:rFonts w:hint="eastAsia"/>
                <w:sz w:val="24"/>
                <w:szCs w:val="24"/>
              </w:rPr>
              <w:t>学校</w:t>
            </w:r>
          </w:p>
        </w:tc>
        <w:tc>
          <w:tcPr>
            <w:tcW w:w="867" w:type="dxa"/>
            <w:vAlign w:val="center"/>
          </w:tcPr>
          <w:p>
            <w:pPr>
              <w:jc w:val="center"/>
              <w:rPr>
                <w:sz w:val="24"/>
                <w:szCs w:val="24"/>
              </w:rPr>
            </w:pPr>
            <w:r>
              <w:rPr>
                <w:rFonts w:hint="eastAsia"/>
                <w:sz w:val="24"/>
                <w:szCs w:val="24"/>
              </w:rPr>
              <w:t>政府部门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470" w:type="dxa"/>
            <w:vMerge w:val="continue"/>
            <w:vAlign w:val="center"/>
          </w:tcPr>
          <w:p>
            <w:pPr>
              <w:jc w:val="center"/>
              <w:rPr>
                <w:b/>
                <w:sz w:val="24"/>
                <w:szCs w:val="24"/>
              </w:rPr>
            </w:pPr>
          </w:p>
        </w:tc>
        <w:tc>
          <w:tcPr>
            <w:tcW w:w="2168" w:type="dxa"/>
            <w:vAlign w:val="center"/>
          </w:tcPr>
          <w:p>
            <w:pPr>
              <w:jc w:val="center"/>
              <w:rPr>
                <w:sz w:val="24"/>
                <w:szCs w:val="24"/>
              </w:rPr>
            </w:pPr>
            <w:r>
              <w:rPr>
                <w:rFonts w:hint="eastAsia"/>
                <w:sz w:val="24"/>
                <w:szCs w:val="24"/>
              </w:rPr>
              <w:t>礼河实验学校</w:t>
            </w:r>
          </w:p>
        </w:tc>
        <w:tc>
          <w:tcPr>
            <w:tcW w:w="723" w:type="dxa"/>
            <w:vAlign w:val="center"/>
          </w:tcPr>
          <w:p>
            <w:pPr>
              <w:jc w:val="center"/>
              <w:rPr>
                <w:sz w:val="24"/>
                <w:szCs w:val="24"/>
              </w:rPr>
            </w:pPr>
            <w:r>
              <w:rPr>
                <w:rFonts w:hint="eastAsia"/>
                <w:sz w:val="24"/>
                <w:szCs w:val="24"/>
              </w:rPr>
              <w:t>1</w:t>
            </w:r>
          </w:p>
        </w:tc>
        <w:tc>
          <w:tcPr>
            <w:tcW w:w="723" w:type="dxa"/>
            <w:vAlign w:val="center"/>
          </w:tcPr>
          <w:p>
            <w:pPr>
              <w:jc w:val="center"/>
              <w:rPr>
                <w:sz w:val="24"/>
                <w:szCs w:val="24"/>
              </w:rPr>
            </w:pPr>
            <w:r>
              <w:rPr>
                <w:rFonts w:hint="eastAsia"/>
                <w:sz w:val="24"/>
                <w:szCs w:val="24"/>
              </w:rPr>
              <w:t>1</w:t>
            </w:r>
          </w:p>
        </w:tc>
        <w:tc>
          <w:tcPr>
            <w:tcW w:w="723" w:type="dxa"/>
            <w:vAlign w:val="center"/>
          </w:tcPr>
          <w:p>
            <w:pPr>
              <w:jc w:val="center"/>
              <w:rPr>
                <w:sz w:val="24"/>
                <w:szCs w:val="24"/>
              </w:rPr>
            </w:pPr>
            <w:r>
              <w:rPr>
                <w:rFonts w:hint="eastAsia"/>
                <w:sz w:val="24"/>
                <w:szCs w:val="24"/>
              </w:rPr>
              <w:t>0</w:t>
            </w:r>
          </w:p>
        </w:tc>
        <w:tc>
          <w:tcPr>
            <w:tcW w:w="723" w:type="dxa"/>
            <w:vAlign w:val="center"/>
          </w:tcPr>
          <w:p>
            <w:pPr>
              <w:jc w:val="center"/>
              <w:rPr>
                <w:sz w:val="24"/>
                <w:szCs w:val="24"/>
              </w:rPr>
            </w:pPr>
            <w:r>
              <w:rPr>
                <w:rFonts w:hint="eastAsia"/>
                <w:sz w:val="24"/>
                <w:szCs w:val="24"/>
              </w:rPr>
              <w:t>3</w:t>
            </w:r>
          </w:p>
        </w:tc>
        <w:tc>
          <w:tcPr>
            <w:tcW w:w="1445" w:type="dxa"/>
            <w:vMerge w:val="restart"/>
            <w:vAlign w:val="center"/>
          </w:tcPr>
          <w:p>
            <w:pPr>
              <w:jc w:val="center"/>
              <w:rPr>
                <w:sz w:val="24"/>
                <w:szCs w:val="24"/>
              </w:rPr>
            </w:pPr>
            <w:r>
              <w:rPr>
                <w:rFonts w:hint="eastAsia"/>
                <w:sz w:val="24"/>
                <w:szCs w:val="24"/>
              </w:rPr>
              <w:t>4</w:t>
            </w:r>
          </w:p>
        </w:tc>
        <w:tc>
          <w:tcPr>
            <w:tcW w:w="759" w:type="dxa"/>
            <w:vMerge w:val="restart"/>
          </w:tcPr>
          <w:p>
            <w:pPr>
              <w:rPr>
                <w:sz w:val="24"/>
                <w:szCs w:val="24"/>
              </w:rPr>
            </w:pPr>
          </w:p>
        </w:tc>
        <w:tc>
          <w:tcPr>
            <w:tcW w:w="867" w:type="dxa"/>
            <w:vMerge w:val="restart"/>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470" w:type="dxa"/>
            <w:vMerge w:val="continue"/>
            <w:vAlign w:val="center"/>
          </w:tcPr>
          <w:p>
            <w:pPr>
              <w:jc w:val="center"/>
              <w:rPr>
                <w:b/>
                <w:sz w:val="24"/>
                <w:szCs w:val="24"/>
              </w:rPr>
            </w:pPr>
          </w:p>
        </w:tc>
        <w:tc>
          <w:tcPr>
            <w:tcW w:w="2168" w:type="dxa"/>
            <w:vAlign w:val="center"/>
          </w:tcPr>
          <w:p>
            <w:pPr>
              <w:jc w:val="center"/>
              <w:rPr>
                <w:sz w:val="24"/>
                <w:szCs w:val="24"/>
              </w:rPr>
            </w:pPr>
            <w:r>
              <w:rPr>
                <w:rFonts w:hint="eastAsia"/>
                <w:sz w:val="24"/>
                <w:szCs w:val="24"/>
              </w:rPr>
              <w:t>嘉泽初中</w:t>
            </w:r>
          </w:p>
        </w:tc>
        <w:tc>
          <w:tcPr>
            <w:tcW w:w="723" w:type="dxa"/>
            <w:vAlign w:val="center"/>
          </w:tcPr>
          <w:p>
            <w:pPr>
              <w:jc w:val="center"/>
              <w:rPr>
                <w:sz w:val="24"/>
                <w:szCs w:val="24"/>
              </w:rPr>
            </w:pPr>
            <w:r>
              <w:rPr>
                <w:rFonts w:hint="eastAsia"/>
                <w:sz w:val="24"/>
                <w:szCs w:val="24"/>
              </w:rPr>
              <w:t>1</w:t>
            </w:r>
          </w:p>
        </w:tc>
        <w:tc>
          <w:tcPr>
            <w:tcW w:w="723" w:type="dxa"/>
            <w:vAlign w:val="center"/>
          </w:tcPr>
          <w:p>
            <w:pPr>
              <w:jc w:val="center"/>
              <w:rPr>
                <w:sz w:val="24"/>
                <w:szCs w:val="24"/>
              </w:rPr>
            </w:pPr>
            <w:r>
              <w:rPr>
                <w:rFonts w:hint="eastAsia"/>
                <w:sz w:val="24"/>
                <w:szCs w:val="24"/>
              </w:rPr>
              <w:t>1</w:t>
            </w:r>
          </w:p>
        </w:tc>
        <w:tc>
          <w:tcPr>
            <w:tcW w:w="723" w:type="dxa"/>
            <w:vAlign w:val="center"/>
          </w:tcPr>
          <w:p>
            <w:pPr>
              <w:jc w:val="center"/>
              <w:rPr>
                <w:sz w:val="24"/>
                <w:szCs w:val="24"/>
              </w:rPr>
            </w:pPr>
            <w:r>
              <w:rPr>
                <w:rFonts w:hint="eastAsia"/>
                <w:sz w:val="24"/>
                <w:szCs w:val="24"/>
              </w:rPr>
              <w:t>0</w:t>
            </w:r>
          </w:p>
        </w:tc>
        <w:tc>
          <w:tcPr>
            <w:tcW w:w="723" w:type="dxa"/>
            <w:vAlign w:val="center"/>
          </w:tcPr>
          <w:p>
            <w:pPr>
              <w:jc w:val="center"/>
              <w:rPr>
                <w:sz w:val="24"/>
                <w:szCs w:val="24"/>
              </w:rPr>
            </w:pPr>
            <w:r>
              <w:rPr>
                <w:rFonts w:hint="eastAsia"/>
                <w:sz w:val="24"/>
                <w:szCs w:val="24"/>
              </w:rPr>
              <w:t>1</w:t>
            </w:r>
          </w:p>
        </w:tc>
        <w:tc>
          <w:tcPr>
            <w:tcW w:w="1445" w:type="dxa"/>
            <w:vMerge w:val="continue"/>
          </w:tcPr>
          <w:p>
            <w:pPr>
              <w:rPr>
                <w:sz w:val="24"/>
                <w:szCs w:val="24"/>
              </w:rPr>
            </w:pPr>
          </w:p>
        </w:tc>
        <w:tc>
          <w:tcPr>
            <w:tcW w:w="759" w:type="dxa"/>
            <w:vMerge w:val="continue"/>
          </w:tcPr>
          <w:p>
            <w:pPr>
              <w:rPr>
                <w:sz w:val="24"/>
                <w:szCs w:val="24"/>
              </w:rPr>
            </w:pPr>
          </w:p>
        </w:tc>
        <w:tc>
          <w:tcPr>
            <w:tcW w:w="867"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470" w:type="dxa"/>
            <w:vMerge w:val="continue"/>
            <w:vAlign w:val="center"/>
          </w:tcPr>
          <w:p>
            <w:pPr>
              <w:jc w:val="center"/>
              <w:rPr>
                <w:b/>
                <w:sz w:val="24"/>
                <w:szCs w:val="24"/>
              </w:rPr>
            </w:pPr>
          </w:p>
        </w:tc>
        <w:tc>
          <w:tcPr>
            <w:tcW w:w="2168" w:type="dxa"/>
            <w:vAlign w:val="center"/>
          </w:tcPr>
          <w:p>
            <w:pPr>
              <w:jc w:val="center"/>
              <w:rPr>
                <w:sz w:val="24"/>
                <w:szCs w:val="24"/>
              </w:rPr>
            </w:pPr>
            <w:r>
              <w:rPr>
                <w:rFonts w:hint="eastAsia"/>
                <w:sz w:val="24"/>
                <w:szCs w:val="24"/>
              </w:rPr>
              <w:t>夏溪初中</w:t>
            </w:r>
          </w:p>
        </w:tc>
        <w:tc>
          <w:tcPr>
            <w:tcW w:w="723" w:type="dxa"/>
            <w:vAlign w:val="center"/>
          </w:tcPr>
          <w:p>
            <w:pPr>
              <w:jc w:val="center"/>
              <w:rPr>
                <w:sz w:val="24"/>
                <w:szCs w:val="24"/>
              </w:rPr>
            </w:pPr>
            <w:r>
              <w:rPr>
                <w:rFonts w:hint="eastAsia"/>
                <w:sz w:val="24"/>
                <w:szCs w:val="24"/>
              </w:rPr>
              <w:t>1</w:t>
            </w:r>
          </w:p>
        </w:tc>
        <w:tc>
          <w:tcPr>
            <w:tcW w:w="723" w:type="dxa"/>
            <w:vAlign w:val="center"/>
          </w:tcPr>
          <w:p>
            <w:pPr>
              <w:jc w:val="center"/>
              <w:rPr>
                <w:sz w:val="24"/>
                <w:szCs w:val="24"/>
              </w:rPr>
            </w:pPr>
            <w:r>
              <w:rPr>
                <w:rFonts w:hint="eastAsia"/>
                <w:sz w:val="24"/>
                <w:szCs w:val="24"/>
              </w:rPr>
              <w:t>1</w:t>
            </w:r>
          </w:p>
        </w:tc>
        <w:tc>
          <w:tcPr>
            <w:tcW w:w="723" w:type="dxa"/>
            <w:vAlign w:val="center"/>
          </w:tcPr>
          <w:p>
            <w:pPr>
              <w:jc w:val="center"/>
              <w:rPr>
                <w:sz w:val="24"/>
                <w:szCs w:val="24"/>
              </w:rPr>
            </w:pPr>
            <w:r>
              <w:rPr>
                <w:rFonts w:hint="eastAsia"/>
                <w:sz w:val="24"/>
                <w:szCs w:val="24"/>
              </w:rPr>
              <w:t>0</w:t>
            </w:r>
          </w:p>
        </w:tc>
        <w:tc>
          <w:tcPr>
            <w:tcW w:w="723" w:type="dxa"/>
            <w:vAlign w:val="center"/>
          </w:tcPr>
          <w:p>
            <w:pPr>
              <w:jc w:val="center"/>
              <w:rPr>
                <w:sz w:val="24"/>
                <w:szCs w:val="24"/>
              </w:rPr>
            </w:pPr>
            <w:r>
              <w:rPr>
                <w:rFonts w:hint="eastAsia"/>
                <w:sz w:val="24"/>
                <w:szCs w:val="24"/>
              </w:rPr>
              <w:t>2</w:t>
            </w:r>
          </w:p>
        </w:tc>
        <w:tc>
          <w:tcPr>
            <w:tcW w:w="1445" w:type="dxa"/>
            <w:vMerge w:val="continue"/>
          </w:tcPr>
          <w:p>
            <w:pPr>
              <w:rPr>
                <w:sz w:val="24"/>
                <w:szCs w:val="24"/>
              </w:rPr>
            </w:pPr>
          </w:p>
        </w:tc>
        <w:tc>
          <w:tcPr>
            <w:tcW w:w="759" w:type="dxa"/>
            <w:vMerge w:val="continue"/>
          </w:tcPr>
          <w:p>
            <w:pPr>
              <w:rPr>
                <w:sz w:val="24"/>
                <w:szCs w:val="24"/>
              </w:rPr>
            </w:pPr>
          </w:p>
        </w:tc>
        <w:tc>
          <w:tcPr>
            <w:tcW w:w="867"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470" w:type="dxa"/>
            <w:vMerge w:val="continue"/>
            <w:vAlign w:val="center"/>
          </w:tcPr>
          <w:p>
            <w:pPr>
              <w:jc w:val="center"/>
              <w:rPr>
                <w:b/>
                <w:sz w:val="24"/>
                <w:szCs w:val="24"/>
              </w:rPr>
            </w:pPr>
          </w:p>
        </w:tc>
        <w:tc>
          <w:tcPr>
            <w:tcW w:w="2168" w:type="dxa"/>
            <w:vAlign w:val="center"/>
          </w:tcPr>
          <w:p>
            <w:pPr>
              <w:jc w:val="center"/>
              <w:rPr>
                <w:sz w:val="24"/>
                <w:szCs w:val="24"/>
              </w:rPr>
            </w:pPr>
            <w:r>
              <w:rPr>
                <w:rFonts w:hint="eastAsia"/>
                <w:sz w:val="24"/>
                <w:szCs w:val="24"/>
              </w:rPr>
              <w:t>成章初中</w:t>
            </w:r>
          </w:p>
        </w:tc>
        <w:tc>
          <w:tcPr>
            <w:tcW w:w="723" w:type="dxa"/>
            <w:vAlign w:val="center"/>
          </w:tcPr>
          <w:p>
            <w:pPr>
              <w:jc w:val="center"/>
              <w:rPr>
                <w:sz w:val="24"/>
                <w:szCs w:val="24"/>
              </w:rPr>
            </w:pPr>
            <w:r>
              <w:rPr>
                <w:rFonts w:hint="eastAsia"/>
                <w:sz w:val="24"/>
                <w:szCs w:val="24"/>
              </w:rPr>
              <w:t>1</w:t>
            </w:r>
          </w:p>
        </w:tc>
        <w:tc>
          <w:tcPr>
            <w:tcW w:w="723" w:type="dxa"/>
            <w:vAlign w:val="center"/>
          </w:tcPr>
          <w:p>
            <w:pPr>
              <w:jc w:val="center"/>
              <w:rPr>
                <w:sz w:val="24"/>
                <w:szCs w:val="24"/>
              </w:rPr>
            </w:pPr>
            <w:r>
              <w:rPr>
                <w:rFonts w:hint="eastAsia"/>
                <w:sz w:val="24"/>
                <w:szCs w:val="24"/>
              </w:rPr>
              <w:t>1</w:t>
            </w:r>
          </w:p>
        </w:tc>
        <w:tc>
          <w:tcPr>
            <w:tcW w:w="723" w:type="dxa"/>
            <w:vAlign w:val="center"/>
          </w:tcPr>
          <w:p>
            <w:pPr>
              <w:jc w:val="center"/>
              <w:rPr>
                <w:sz w:val="24"/>
                <w:szCs w:val="24"/>
              </w:rPr>
            </w:pPr>
            <w:r>
              <w:rPr>
                <w:rFonts w:hint="eastAsia"/>
                <w:sz w:val="24"/>
                <w:szCs w:val="24"/>
              </w:rPr>
              <w:t>0</w:t>
            </w:r>
          </w:p>
        </w:tc>
        <w:tc>
          <w:tcPr>
            <w:tcW w:w="723" w:type="dxa"/>
            <w:vAlign w:val="center"/>
          </w:tcPr>
          <w:p>
            <w:pPr>
              <w:jc w:val="center"/>
              <w:rPr>
                <w:sz w:val="24"/>
                <w:szCs w:val="24"/>
              </w:rPr>
            </w:pPr>
            <w:r>
              <w:rPr>
                <w:rFonts w:hint="eastAsia"/>
                <w:sz w:val="24"/>
                <w:szCs w:val="24"/>
              </w:rPr>
              <w:t>2</w:t>
            </w:r>
          </w:p>
        </w:tc>
        <w:tc>
          <w:tcPr>
            <w:tcW w:w="1445" w:type="dxa"/>
            <w:vMerge w:val="continue"/>
          </w:tcPr>
          <w:p>
            <w:pPr>
              <w:rPr>
                <w:sz w:val="24"/>
                <w:szCs w:val="24"/>
              </w:rPr>
            </w:pPr>
          </w:p>
        </w:tc>
        <w:tc>
          <w:tcPr>
            <w:tcW w:w="759" w:type="dxa"/>
            <w:vMerge w:val="continue"/>
          </w:tcPr>
          <w:p>
            <w:pPr>
              <w:rPr>
                <w:sz w:val="24"/>
                <w:szCs w:val="24"/>
              </w:rPr>
            </w:pPr>
          </w:p>
        </w:tc>
        <w:tc>
          <w:tcPr>
            <w:tcW w:w="867"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1" w:hRule="atLeast"/>
        </w:trPr>
        <w:tc>
          <w:tcPr>
            <w:tcW w:w="470" w:type="dxa"/>
            <w:vAlign w:val="center"/>
          </w:tcPr>
          <w:p>
            <w:pPr>
              <w:jc w:val="center"/>
              <w:rPr>
                <w:b/>
                <w:sz w:val="24"/>
                <w:szCs w:val="24"/>
              </w:rPr>
            </w:pPr>
            <w:r>
              <w:rPr>
                <w:rFonts w:hint="eastAsia"/>
                <w:b/>
                <w:sz w:val="24"/>
                <w:szCs w:val="24"/>
              </w:rPr>
              <w:t>督导工作</w:t>
            </w:r>
          </w:p>
        </w:tc>
        <w:tc>
          <w:tcPr>
            <w:tcW w:w="8131" w:type="dxa"/>
            <w:gridSpan w:val="8"/>
            <w:vAlign w:val="center"/>
          </w:tcPr>
          <w:p>
            <w:pPr>
              <w:ind w:firstLine="600" w:firstLineChars="250"/>
              <w:rPr>
                <w:sz w:val="24"/>
                <w:szCs w:val="24"/>
              </w:rPr>
            </w:pPr>
            <w:r>
              <w:rPr>
                <w:rFonts w:hint="eastAsia"/>
                <w:sz w:val="24"/>
                <w:szCs w:val="24"/>
              </w:rPr>
              <w:t>重点督查</w:t>
            </w:r>
            <w:r>
              <w:rPr>
                <w:rFonts w:hint="eastAsia" w:ascii="宋体"/>
                <w:kern w:val="0"/>
                <w:sz w:val="24"/>
                <w:szCs w:val="24"/>
              </w:rPr>
              <w:t>开学工作，了解学校学生教师报到、收费、办学行为、安全等情况，对照教育局春季开学暨学校安全风险防控专项督查细则逐项进行检查，会同学校填写评估表打分，对于重点环节与学校一起商量解决改进，确保各校稳定安全。</w:t>
            </w: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6" w:hRule="atLeast"/>
        </w:trPr>
        <w:tc>
          <w:tcPr>
            <w:tcW w:w="470" w:type="dxa"/>
            <w:vAlign w:val="center"/>
          </w:tcPr>
          <w:p>
            <w:pPr>
              <w:jc w:val="center"/>
              <w:rPr>
                <w:b/>
                <w:sz w:val="24"/>
                <w:szCs w:val="24"/>
              </w:rPr>
            </w:pPr>
            <w:r>
              <w:rPr>
                <w:rFonts w:hint="eastAsia"/>
                <w:b/>
                <w:sz w:val="24"/>
                <w:szCs w:val="24"/>
              </w:rPr>
              <w:t>学校成绩</w:t>
            </w:r>
          </w:p>
        </w:tc>
        <w:tc>
          <w:tcPr>
            <w:tcW w:w="8131" w:type="dxa"/>
            <w:gridSpan w:val="8"/>
            <w:vAlign w:val="center"/>
          </w:tcPr>
          <w:p>
            <w:pPr>
              <w:ind w:firstLine="360" w:firstLineChars="150"/>
              <w:rPr>
                <w:sz w:val="24"/>
                <w:szCs w:val="24"/>
              </w:rPr>
            </w:pPr>
            <w:r>
              <w:rPr>
                <w:rFonts w:hint="eastAsia"/>
                <w:sz w:val="24"/>
                <w:szCs w:val="24"/>
              </w:rPr>
              <w:t>1．各校开学工作有条不紊开展，开学工作良好，日常管理到位，跑操和大课间体育活动正常开展。礼河实验学校举行了跑操比赛。</w:t>
            </w:r>
          </w:p>
          <w:p>
            <w:pPr>
              <w:ind w:firstLine="360" w:firstLineChars="150"/>
              <w:rPr>
                <w:sz w:val="24"/>
                <w:szCs w:val="24"/>
              </w:rPr>
            </w:pPr>
            <w:r>
              <w:rPr>
                <w:rFonts w:hint="eastAsia"/>
                <w:sz w:val="24"/>
                <w:szCs w:val="24"/>
              </w:rPr>
              <w:t>2．各校认真贯彻上级有关减负增效的工作要求，重视毕业班教学工作，分别召开学生动员会，励志教育活动，教师复习研讨会，学生家长会等，有效提高毕业班学生的学习积极性，抓实各项工作，力争在中考取得好成绩。</w:t>
            </w:r>
          </w:p>
          <w:p>
            <w:pPr>
              <w:widowControl/>
              <w:spacing w:line="320" w:lineRule="exact"/>
              <w:ind w:firstLine="360" w:firstLineChars="150"/>
              <w:jc w:val="left"/>
              <w:rPr>
                <w:rFonts w:ascii="宋体" w:hAnsi="宋体" w:cs="宋体"/>
                <w:color w:val="333333"/>
                <w:kern w:val="0"/>
                <w:sz w:val="24"/>
              </w:rPr>
            </w:pPr>
            <w:r>
              <w:rPr>
                <w:rFonts w:hint="eastAsia"/>
                <w:sz w:val="24"/>
                <w:szCs w:val="24"/>
              </w:rPr>
              <w:t>3</w:t>
            </w:r>
            <w:r>
              <w:rPr>
                <w:rFonts w:hint="eastAsia" w:ascii="宋体" w:hAnsi="宋体" w:cs="宋体"/>
                <w:sz w:val="24"/>
                <w:szCs w:val="24"/>
              </w:rPr>
              <w:t>．各校十分重视春季校园安全工作，认真组织春季开学暨学校安全防控专项检查，关注细节，落实安全措施，消除安全隐患。</w:t>
            </w: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1" w:hRule="atLeast"/>
        </w:trPr>
        <w:tc>
          <w:tcPr>
            <w:tcW w:w="470" w:type="dxa"/>
            <w:vAlign w:val="center"/>
          </w:tcPr>
          <w:p>
            <w:pPr>
              <w:jc w:val="center"/>
              <w:rPr>
                <w:b/>
                <w:sz w:val="24"/>
                <w:szCs w:val="24"/>
              </w:rPr>
            </w:pPr>
            <w:r>
              <w:rPr>
                <w:rFonts w:hint="eastAsia"/>
                <w:b/>
                <w:sz w:val="24"/>
                <w:szCs w:val="24"/>
              </w:rPr>
              <w:t>存在问题</w:t>
            </w:r>
          </w:p>
        </w:tc>
        <w:tc>
          <w:tcPr>
            <w:tcW w:w="8131" w:type="dxa"/>
            <w:gridSpan w:val="8"/>
            <w:vAlign w:val="center"/>
          </w:tcPr>
          <w:p>
            <w:pPr>
              <w:autoSpaceDE w:val="0"/>
              <w:autoSpaceDN w:val="0"/>
              <w:adjustRightInd w:val="0"/>
              <w:spacing w:line="420" w:lineRule="exact"/>
              <w:ind w:firstLine="480" w:firstLineChars="200"/>
              <w:rPr>
                <w:rFonts w:hint="eastAsia" w:ascii="宋体" w:hAnsi="宋体" w:cs="FZDaBiaoSong-B06S"/>
                <w:kern w:val="0"/>
                <w:sz w:val="24"/>
                <w:szCs w:val="24"/>
              </w:rPr>
            </w:pPr>
            <w:r>
              <w:rPr>
                <w:rFonts w:hint="eastAsia" w:ascii="宋体" w:hAnsi="宋体" w:cs="FZDaBiaoSong-B06S"/>
                <w:kern w:val="0"/>
                <w:sz w:val="24"/>
                <w:szCs w:val="24"/>
              </w:rPr>
              <w:t>1.毕业班学生思想波动较大</w:t>
            </w:r>
            <w:r>
              <w:rPr>
                <w:rFonts w:ascii="宋体" w:hAnsi="宋体" w:cs="FZDaBiaoSong-B06S"/>
                <w:kern w:val="0"/>
                <w:sz w:val="24"/>
                <w:szCs w:val="24"/>
              </w:rPr>
              <w:t>,</w:t>
            </w:r>
            <w:r>
              <w:rPr>
                <w:rFonts w:hint="eastAsia" w:ascii="宋体" w:hAnsi="宋体" w:cs="FZDaBiaoSong-B06S"/>
                <w:kern w:val="0"/>
                <w:sz w:val="24"/>
                <w:szCs w:val="24"/>
              </w:rPr>
              <w:t>学习压力大。班主任多关注学生思想动态，班会课适当组织活动帮学生减压。</w:t>
            </w:r>
          </w:p>
          <w:p>
            <w:pPr>
              <w:autoSpaceDE w:val="0"/>
              <w:autoSpaceDN w:val="0"/>
              <w:adjustRightInd w:val="0"/>
              <w:spacing w:line="420" w:lineRule="exact"/>
              <w:ind w:firstLine="480" w:firstLineChars="200"/>
              <w:rPr>
                <w:rFonts w:ascii="宋体" w:hAnsi="宋体" w:cs="FZDaBiaoSong-B06S"/>
                <w:kern w:val="0"/>
                <w:sz w:val="24"/>
                <w:szCs w:val="24"/>
              </w:rPr>
            </w:pPr>
            <w:r>
              <w:rPr>
                <w:rFonts w:hint="eastAsia" w:ascii="宋体" w:hAnsi="宋体" w:cs="FZDaBiaoSong-B06S"/>
                <w:kern w:val="0"/>
                <w:sz w:val="24"/>
              </w:rPr>
              <w:t>2.教师的教育和管理任何时候都不能放松，师德教育应常抓不懈，务必使教师严格遵守师德规范，守住师德底线。</w:t>
            </w:r>
          </w:p>
          <w:p>
            <w:pPr>
              <w:ind w:firstLine="480" w:firstLineChars="200"/>
              <w:rPr>
                <w:rFonts w:ascii="宋体" w:hAnsi="宋体" w:cs="FZDaBiaoSong-B06S"/>
                <w:kern w:val="0"/>
                <w:sz w:val="24"/>
              </w:rPr>
            </w:pPr>
            <w:r>
              <w:rPr>
                <w:rFonts w:hint="eastAsia" w:ascii="宋体" w:hAnsi="宋体" w:cs="FZDaBiaoSong-B06S"/>
                <w:kern w:val="0"/>
                <w:sz w:val="24"/>
              </w:rPr>
              <w:t>3.春季是流行病传染季节，学校应重视教育，做好各项防控工作，确保师生健康。</w:t>
            </w:r>
          </w:p>
          <w:p>
            <w:pPr>
              <w:rPr>
                <w:sz w:val="24"/>
                <w:szCs w:val="24"/>
              </w:rPr>
            </w:pPr>
          </w:p>
        </w:tc>
      </w:tr>
    </w:tbl>
    <w:p>
      <w:pPr>
        <w:autoSpaceDE w:val="0"/>
        <w:autoSpaceDN w:val="0"/>
        <w:adjustRightInd w:val="0"/>
        <w:spacing w:afterLines="50"/>
        <w:jc w:val="center"/>
        <w:rPr>
          <w:rStyle w:val="3"/>
          <w:rFonts w:hint="eastAsia" w:cs="宋体" w:asciiTheme="majorEastAsia" w:hAnsiTheme="majorEastAsia" w:eastAsiaTheme="majorEastAsia"/>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DaBiaoSong-B06S">
    <w:altName w:val="Segoe Print"/>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FD239C"/>
    <w:rsid w:val="3EFD239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bCs/>
    </w:rPr>
  </w:style>
  <w:style w:type="table" w:styleId="5">
    <w:name w:val="Table Grid"/>
    <w:basedOn w:val="4"/>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2018-04-11T05:04:00Z</dcterms:created>
  <dc:creator>田心之南～</dc:creator>
  <cp:lastModifiedBy>田心之南～</cp:lastModifiedBy>
  <dcterms:modified xsi:type="dcterms:W3CDTF">2018-04-11T05:06:25Z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