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附表1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  <w:bookmarkEnd w:id="0"/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sz w:val="24"/>
        </w:rPr>
        <w:t>（课件、微课、课例、教育资源应用教学设计方案、教育资源应用课例）</w:t>
      </w:r>
    </w:p>
    <w:p>
      <w:pPr>
        <w:spacing w:line="44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3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翻转课堂教学课例□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基于网络的</w:t>
            </w:r>
            <w:r>
              <w:rPr>
                <w:rFonts w:hint="eastAsia" w:ascii="仿宋_GB2312" w:hAnsi="Calibri" w:eastAsia="仿宋_GB2312"/>
                <w:sz w:val="24"/>
              </w:rPr>
              <w:t>PBL教学课例□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一对一数字化学习综合课例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移动终端课例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幼儿教育组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特殊教育组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教学点组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教育资源应用教学设计方案□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教育资源应用课例□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发票抬头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税号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在“大奖赛”网站共享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3026"/>
    <w:rsid w:val="06D030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2018-05-07T07:52:00Z</dcterms:created>
  <dc:creator>Administrator</dc:creator>
  <cp:lastModifiedBy>Administrator</cp:lastModifiedBy>
  <dcterms:modified xsi:type="dcterms:W3CDTF">2018-05-07T07:52:31Z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