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rPr>
      </w:pPr>
    </w:p>
    <w:p>
      <w:pPr>
        <w:rPr>
          <w:rFonts w:ascii="宋体"/>
        </w:rPr>
      </w:pPr>
    </w:p>
    <w:p>
      <w:pPr>
        <w:rPr>
          <w:rFonts w:ascii="宋体"/>
        </w:rPr>
      </w:pPr>
    </w:p>
    <w:p>
      <w:pPr>
        <w:rPr>
          <w:rFonts w:ascii="宋体"/>
        </w:rPr>
      </w:pPr>
    </w:p>
    <w:p>
      <w:pPr>
        <w:ind w:right="10"/>
        <w:jc w:val="center"/>
        <w:rPr>
          <w:rFonts w:ascii="宋体"/>
          <w:b/>
          <w:sz w:val="44"/>
        </w:rPr>
      </w:pPr>
      <w:r>
        <w:rPr>
          <w:rFonts w:hint="eastAsia" w:ascii="宋体"/>
          <w:b/>
          <w:sz w:val="44"/>
        </w:rPr>
        <w:t>常州市普通高中素质教育综合督导</w:t>
      </w:r>
    </w:p>
    <w:p>
      <w:pPr>
        <w:ind w:right="1795"/>
        <w:jc w:val="center"/>
        <w:rPr>
          <w:rFonts w:ascii="宋体"/>
          <w:b/>
          <w:sz w:val="44"/>
        </w:rPr>
      </w:pPr>
    </w:p>
    <w:p>
      <w:pPr>
        <w:ind w:right="10"/>
        <w:jc w:val="center"/>
        <w:rPr>
          <w:rFonts w:ascii="宋体"/>
          <w:b/>
          <w:sz w:val="84"/>
        </w:rPr>
      </w:pPr>
      <w:r>
        <w:rPr>
          <w:rFonts w:hint="eastAsia" w:ascii="宋体"/>
          <w:b/>
          <w:sz w:val="84"/>
        </w:rPr>
        <w:t>学校自评手册</w:t>
      </w:r>
    </w:p>
    <w:p>
      <w:pPr>
        <w:rPr>
          <w:rFonts w:ascii="宋体"/>
          <w:b/>
          <w:sz w:val="52"/>
        </w:rPr>
      </w:pPr>
    </w:p>
    <w:p>
      <w:pPr>
        <w:rPr>
          <w:rFonts w:ascii="宋体"/>
          <w:b/>
          <w:sz w:val="32"/>
        </w:rPr>
      </w:pPr>
    </w:p>
    <w:p>
      <w:pPr>
        <w:ind w:firstLine="1285" w:firstLineChars="400"/>
        <w:rPr>
          <w:rFonts w:hint="eastAsia" w:ascii="宋体"/>
          <w:b/>
          <w:bCs/>
          <w:sz w:val="32"/>
          <w:u w:val="single"/>
        </w:rPr>
      </w:pPr>
      <w:r>
        <w:rPr>
          <w:rFonts w:hint="eastAsia" w:ascii="宋体"/>
          <w:b/>
          <w:sz w:val="32"/>
        </w:rPr>
        <w:t>学校名称</w:t>
      </w:r>
      <w:r>
        <w:rPr>
          <w:rFonts w:hint="eastAsia" w:ascii="宋体"/>
          <w:sz w:val="32"/>
          <w:u w:val="single"/>
        </w:rPr>
        <w:t xml:space="preserve">  </w:t>
      </w:r>
      <w:r>
        <w:rPr>
          <w:rFonts w:hint="eastAsia" w:ascii="宋体"/>
          <w:bCs/>
          <w:sz w:val="32"/>
          <w:u w:val="single"/>
        </w:rPr>
        <w:t xml:space="preserve">常州市武进区洛阳高级中学 </w:t>
      </w:r>
      <w:r>
        <w:rPr>
          <w:rFonts w:hint="eastAsia" w:ascii="宋体"/>
          <w:b/>
          <w:bCs/>
          <w:sz w:val="32"/>
          <w:u w:val="single"/>
        </w:rPr>
        <w:t xml:space="preserve">       </w:t>
      </w:r>
    </w:p>
    <w:p>
      <w:pPr>
        <w:ind w:firstLine="1285" w:firstLineChars="400"/>
        <w:rPr>
          <w:rFonts w:ascii="宋体"/>
          <w:b/>
          <w:sz w:val="32"/>
        </w:rPr>
      </w:pPr>
      <w:r>
        <w:rPr>
          <w:rFonts w:hint="eastAsia" w:ascii="宋体"/>
          <w:b/>
          <w:sz w:val="32"/>
        </w:rPr>
        <w:t>学校地址</w:t>
      </w:r>
      <w:r>
        <w:rPr>
          <w:rFonts w:hint="eastAsia" w:ascii="宋体"/>
          <w:b/>
          <w:sz w:val="32"/>
          <w:u w:val="single"/>
        </w:rPr>
        <w:t xml:space="preserve">  </w:t>
      </w:r>
      <w:r>
        <w:rPr>
          <w:rFonts w:ascii="宋体"/>
          <w:sz w:val="32"/>
          <w:u w:val="single"/>
        </w:rPr>
        <w:t>常州市武进区洛阳镇阳光路</w:t>
      </w:r>
      <w:r>
        <w:rPr>
          <w:rFonts w:hint="eastAsia" w:ascii="宋体"/>
          <w:sz w:val="32"/>
          <w:u w:val="single"/>
        </w:rPr>
        <w:t>3号</w:t>
      </w:r>
      <w:r>
        <w:rPr>
          <w:rFonts w:hint="eastAsia" w:ascii="宋体"/>
          <w:b/>
          <w:sz w:val="32"/>
          <w:u w:val="single"/>
        </w:rPr>
        <w:t xml:space="preserve">    </w:t>
      </w:r>
      <w:r>
        <w:rPr>
          <w:rFonts w:hint="eastAsia" w:ascii="宋体"/>
          <w:b/>
          <w:sz w:val="32"/>
        </w:rPr>
        <w:t xml:space="preserve"> </w:t>
      </w:r>
    </w:p>
    <w:p>
      <w:pPr>
        <w:ind w:firstLine="1285" w:firstLineChars="400"/>
        <w:rPr>
          <w:rFonts w:ascii="宋体"/>
          <w:b/>
          <w:color w:val="000000"/>
          <w:sz w:val="32"/>
        </w:rPr>
      </w:pPr>
      <w:r>
        <w:rPr>
          <w:rFonts w:hint="eastAsia" w:ascii="宋体"/>
          <w:b/>
          <w:sz w:val="32"/>
        </w:rPr>
        <w:t>邮    编</w:t>
      </w:r>
      <w:r>
        <w:rPr>
          <w:rFonts w:hint="eastAsia" w:ascii="宋体"/>
          <w:b/>
          <w:sz w:val="32"/>
          <w:u w:val="single"/>
        </w:rPr>
        <w:t xml:space="preserve"> </w:t>
      </w:r>
      <w:r>
        <w:rPr>
          <w:rFonts w:hint="eastAsia" w:ascii="宋体"/>
          <w:sz w:val="32"/>
          <w:u w:val="single"/>
        </w:rPr>
        <w:t>213104</w:t>
      </w:r>
      <w:r>
        <w:rPr>
          <w:rFonts w:hint="eastAsia" w:ascii="宋体"/>
          <w:b/>
          <w:sz w:val="32"/>
          <w:u w:val="single"/>
        </w:rPr>
        <w:t xml:space="preserve">  </w:t>
      </w:r>
      <w:r>
        <w:rPr>
          <w:rFonts w:hint="eastAsia" w:ascii="宋体"/>
          <w:b/>
          <w:sz w:val="32"/>
        </w:rPr>
        <w:t>学校网址</w:t>
      </w:r>
      <w:r>
        <w:rPr>
          <w:rFonts w:hint="eastAsia" w:ascii="宋体"/>
          <w:b/>
          <w:sz w:val="32"/>
          <w:u w:val="single"/>
        </w:rPr>
        <w:t xml:space="preserve"> </w:t>
      </w:r>
      <w:r>
        <w:rPr>
          <w:rFonts w:hint="eastAsia" w:ascii="宋体"/>
          <w:b/>
          <w:color w:val="000000"/>
          <w:sz w:val="32"/>
          <w:u w:val="single"/>
        </w:rPr>
        <w:t xml:space="preserve"> </w:t>
      </w:r>
      <w:r>
        <w:fldChar w:fldCharType="begin"/>
      </w:r>
      <w:r>
        <w:instrText xml:space="preserve"> HYPERLINK "http://www.wjlyms.net" </w:instrText>
      </w:r>
      <w:r>
        <w:fldChar w:fldCharType="separate"/>
      </w:r>
      <w:r>
        <w:rPr>
          <w:rStyle w:val="13"/>
          <w:rFonts w:ascii="宋体"/>
          <w:color w:val="000000"/>
          <w:sz w:val="32"/>
        </w:rPr>
        <w:t>www.wjlyms.net</w:t>
      </w:r>
      <w:r>
        <w:rPr>
          <w:rStyle w:val="13"/>
          <w:rFonts w:ascii="宋体"/>
          <w:color w:val="000000"/>
          <w:sz w:val="32"/>
        </w:rPr>
        <w:fldChar w:fldCharType="end"/>
      </w:r>
      <w:r>
        <w:rPr>
          <w:rFonts w:hint="eastAsia" w:ascii="宋体"/>
          <w:b/>
          <w:color w:val="000000"/>
          <w:sz w:val="32"/>
          <w:u w:val="single"/>
        </w:rPr>
        <w:t xml:space="preserve"> </w:t>
      </w:r>
    </w:p>
    <w:p>
      <w:pPr>
        <w:ind w:firstLine="1285" w:firstLineChars="400"/>
        <w:rPr>
          <w:rFonts w:ascii="宋体"/>
          <w:b/>
          <w:sz w:val="32"/>
          <w:u w:val="single"/>
        </w:rPr>
      </w:pPr>
      <w:r>
        <w:rPr>
          <w:rFonts w:hint="eastAsia" w:ascii="宋体"/>
          <w:b/>
          <w:sz w:val="32"/>
        </w:rPr>
        <w:t>校长姓名</w:t>
      </w:r>
      <w:r>
        <w:rPr>
          <w:rFonts w:hint="eastAsia" w:ascii="宋体"/>
          <w:sz w:val="32"/>
          <w:u w:val="single"/>
        </w:rPr>
        <w:t xml:space="preserve"> </w:t>
      </w:r>
      <w:r>
        <w:rPr>
          <w:rFonts w:ascii="宋体"/>
          <w:sz w:val="32"/>
          <w:u w:val="single"/>
        </w:rPr>
        <w:t>沈纯芳</w:t>
      </w:r>
      <w:r>
        <w:rPr>
          <w:rFonts w:hint="eastAsia" w:ascii="宋体"/>
          <w:sz w:val="32"/>
          <w:u w:val="single"/>
        </w:rPr>
        <w:t xml:space="preserve">  </w:t>
      </w:r>
      <w:r>
        <w:rPr>
          <w:rFonts w:hint="eastAsia" w:ascii="宋体"/>
          <w:b/>
          <w:sz w:val="32"/>
        </w:rPr>
        <w:t>电子邮箱</w:t>
      </w:r>
      <w:r>
        <w:rPr>
          <w:rFonts w:hint="eastAsia" w:ascii="宋体"/>
          <w:b/>
          <w:sz w:val="32"/>
          <w:u w:val="single"/>
        </w:rPr>
        <w:t xml:space="preserve"> </w:t>
      </w:r>
      <w:r>
        <w:rPr>
          <w:rFonts w:ascii="宋体"/>
          <w:sz w:val="32"/>
          <w:u w:val="single"/>
        </w:rPr>
        <w:t>wjlygjzx</w:t>
      </w:r>
      <w:r>
        <w:rPr>
          <w:rFonts w:hint="eastAsia" w:ascii="宋体"/>
          <w:sz w:val="32"/>
          <w:u w:val="single"/>
        </w:rPr>
        <w:t>@163.com</w:t>
      </w:r>
    </w:p>
    <w:p>
      <w:pPr>
        <w:ind w:firstLine="1285" w:firstLineChars="400"/>
        <w:rPr>
          <w:rFonts w:ascii="宋体"/>
          <w:u w:val="single"/>
        </w:rPr>
      </w:pPr>
      <w:r>
        <w:rPr>
          <w:rFonts w:hint="eastAsia" w:ascii="宋体"/>
          <w:b/>
          <w:sz w:val="32"/>
        </w:rPr>
        <w:t>办公电话</w:t>
      </w:r>
      <w:r>
        <w:rPr>
          <w:rFonts w:hint="eastAsia" w:ascii="宋体"/>
          <w:sz w:val="32"/>
          <w:u w:val="single"/>
        </w:rPr>
        <w:t>88798958</w:t>
      </w:r>
      <w:r>
        <w:rPr>
          <w:rFonts w:hint="eastAsia" w:ascii="宋体"/>
          <w:b/>
          <w:sz w:val="32"/>
        </w:rPr>
        <w:t>移动电话</w:t>
      </w:r>
      <w:r>
        <w:rPr>
          <w:rFonts w:hint="eastAsia" w:ascii="宋体"/>
          <w:b/>
          <w:sz w:val="32"/>
          <w:u w:val="single"/>
        </w:rPr>
        <w:t xml:space="preserve">   </w:t>
      </w:r>
      <w:r>
        <w:rPr>
          <w:rFonts w:hint="eastAsia" w:ascii="宋体"/>
          <w:sz w:val="32"/>
          <w:u w:val="single"/>
        </w:rPr>
        <w:t>13775117528</w:t>
      </w:r>
      <w:r>
        <w:rPr>
          <w:rFonts w:hint="eastAsia" w:ascii="宋体"/>
          <w:b/>
          <w:sz w:val="32"/>
          <w:u w:val="single"/>
        </w:rPr>
        <w:t xml:space="preserve">   </w:t>
      </w:r>
    </w:p>
    <w:p>
      <w:pPr>
        <w:rPr>
          <w:rFonts w:ascii="宋体"/>
        </w:rPr>
      </w:pPr>
    </w:p>
    <w:p>
      <w:pPr>
        <w:ind w:firstLine="1285" w:firstLineChars="400"/>
        <w:rPr>
          <w:rFonts w:ascii="宋体"/>
          <w:b/>
          <w:sz w:val="32"/>
        </w:rPr>
      </w:pPr>
    </w:p>
    <w:p>
      <w:pPr>
        <w:ind w:firstLine="1285" w:firstLineChars="400"/>
        <w:rPr>
          <w:rFonts w:ascii="宋体"/>
        </w:rPr>
      </w:pPr>
      <w:r>
        <w:rPr>
          <w:rFonts w:hint="eastAsia" w:ascii="宋体"/>
          <w:b/>
          <w:sz w:val="32"/>
        </w:rPr>
        <w:t>上级审核部门</w:t>
      </w:r>
      <w:r>
        <w:rPr>
          <w:rFonts w:hint="eastAsia" w:ascii="宋体"/>
          <w:b/>
          <w:sz w:val="32"/>
          <w:u w:val="single"/>
        </w:rPr>
        <w:t xml:space="preserve">       </w:t>
      </w:r>
      <w:r>
        <w:rPr>
          <w:rFonts w:hint="eastAsia" w:ascii="宋体"/>
          <w:sz w:val="32"/>
          <w:u w:val="single"/>
        </w:rPr>
        <w:t>（公章）</w:t>
      </w:r>
      <w:r>
        <w:rPr>
          <w:rFonts w:hint="eastAsia" w:ascii="宋体"/>
          <w:b/>
          <w:sz w:val="32"/>
          <w:u w:val="single"/>
        </w:rPr>
        <w:t xml:space="preserve">               </w:t>
      </w:r>
    </w:p>
    <w:p>
      <w:pPr>
        <w:rPr>
          <w:rFonts w:ascii="宋体"/>
        </w:rPr>
      </w:pPr>
    </w:p>
    <w:p>
      <w:pPr>
        <w:rPr>
          <w:rFonts w:ascii="宋体"/>
        </w:rPr>
      </w:pPr>
    </w:p>
    <w:p>
      <w:pPr>
        <w:rPr>
          <w:rFonts w:ascii="宋体"/>
        </w:rPr>
      </w:pPr>
    </w:p>
    <w:p>
      <w:pPr>
        <w:rPr>
          <w:rFonts w:ascii="宋体"/>
        </w:rPr>
      </w:pPr>
    </w:p>
    <w:p>
      <w:pPr>
        <w:rPr>
          <w:rFonts w:ascii="宋体"/>
        </w:rPr>
      </w:pPr>
    </w:p>
    <w:p>
      <w:pPr>
        <w:jc w:val="center"/>
        <w:rPr>
          <w:rFonts w:ascii="宋体"/>
          <w:b/>
          <w:sz w:val="32"/>
        </w:rPr>
      </w:pPr>
    </w:p>
    <w:p>
      <w:pPr>
        <w:jc w:val="center"/>
        <w:rPr>
          <w:rFonts w:ascii="楷体" w:hAnsi="楷体" w:eastAsia="楷体"/>
          <w:b/>
          <w:sz w:val="36"/>
          <w:szCs w:val="36"/>
        </w:rPr>
      </w:pPr>
      <w:r>
        <w:rPr>
          <w:rFonts w:hint="eastAsia" w:ascii="楷体" w:hAnsi="楷体" w:eastAsia="楷体"/>
          <w:b/>
          <w:sz w:val="36"/>
          <w:szCs w:val="36"/>
        </w:rPr>
        <w:t>常州市人民政府教育督导委员会办公室制</w:t>
      </w:r>
    </w:p>
    <w:p>
      <w:pPr>
        <w:spacing w:line="360" w:lineRule="exact"/>
        <w:rPr>
          <w:rFonts w:ascii="楷体" w:hAnsi="楷体" w:eastAsia="楷体"/>
          <w:b/>
          <w:spacing w:val="70"/>
          <w:sz w:val="32"/>
          <w:szCs w:val="32"/>
        </w:rPr>
      </w:pPr>
      <w:r>
        <w:rPr>
          <w:rFonts w:hint="eastAsia" w:ascii="楷体" w:hAnsi="楷体" w:eastAsia="楷体"/>
          <w:b/>
          <w:sz w:val="24"/>
        </w:rPr>
        <w:t xml:space="preserve">                         </w:t>
      </w:r>
      <w:r>
        <w:rPr>
          <w:rFonts w:hint="eastAsia" w:ascii="楷体" w:hAnsi="楷体" w:eastAsia="楷体"/>
          <w:b/>
          <w:spacing w:val="70"/>
          <w:sz w:val="32"/>
          <w:szCs w:val="32"/>
        </w:rPr>
        <w:t>二〇一七年十月</w:t>
      </w:r>
    </w:p>
    <w:p>
      <w:pPr>
        <w:jc w:val="center"/>
        <w:rPr>
          <w:rFonts w:ascii="宋体"/>
          <w:b/>
          <w:sz w:val="24"/>
        </w:rPr>
      </w:pPr>
    </w:p>
    <w:p>
      <w:pPr>
        <w:jc w:val="center"/>
        <w:rPr>
          <w:rFonts w:ascii="宋体"/>
          <w:b/>
        </w:rPr>
      </w:pPr>
      <w:r>
        <w:rPr>
          <w:rFonts w:hint="eastAsia" w:ascii="宋体"/>
          <w:b/>
        </w:rPr>
        <w:t xml:space="preserve">                                                                            </w:t>
      </w:r>
    </w:p>
    <w:p>
      <w:pPr>
        <w:jc w:val="center"/>
        <w:rPr>
          <w:rFonts w:ascii="黑体" w:eastAsia="黑体"/>
          <w:b/>
          <w:sz w:val="44"/>
        </w:rPr>
      </w:pPr>
      <w:r>
        <w:rPr>
          <w:rFonts w:hint="eastAsia" w:ascii="黑体" w:eastAsia="黑体"/>
          <w:b/>
          <w:sz w:val="44"/>
        </w:rPr>
        <w:t>填 写 说 明</w:t>
      </w:r>
    </w:p>
    <w:p>
      <w:pPr>
        <w:spacing w:line="360" w:lineRule="auto"/>
        <w:rPr>
          <w:rFonts w:ascii="宋体"/>
          <w:b/>
          <w:sz w:val="32"/>
        </w:rPr>
      </w:pPr>
    </w:p>
    <w:p>
      <w:pPr>
        <w:spacing w:line="360" w:lineRule="auto"/>
        <w:ind w:firstLine="640" w:firstLineChars="200"/>
        <w:rPr>
          <w:rFonts w:ascii="宋体"/>
          <w:sz w:val="32"/>
          <w:szCs w:val="32"/>
        </w:rPr>
      </w:pPr>
      <w:r>
        <w:rPr>
          <w:rFonts w:hint="eastAsia" w:ascii="宋体"/>
          <w:sz w:val="32"/>
          <w:szCs w:val="32"/>
        </w:rPr>
        <w:t>1、本手册是学校素质教育工作的记实性材料，应客观真实填写所有信息与数据。</w:t>
      </w:r>
    </w:p>
    <w:p>
      <w:pPr>
        <w:spacing w:line="360" w:lineRule="auto"/>
        <w:ind w:firstLine="640" w:firstLineChars="200"/>
        <w:rPr>
          <w:rFonts w:ascii="宋体"/>
          <w:sz w:val="32"/>
          <w:szCs w:val="32"/>
        </w:rPr>
      </w:pPr>
      <w:r>
        <w:rPr>
          <w:rFonts w:hint="eastAsia" w:ascii="宋体"/>
          <w:sz w:val="32"/>
          <w:szCs w:val="32"/>
        </w:rPr>
        <w:t>2、页面规格统一为A4纸，字号字体一般用5号宋体；电子文本一律用</w:t>
      </w:r>
      <w:r>
        <w:rPr>
          <w:rFonts w:ascii="宋体"/>
          <w:sz w:val="32"/>
          <w:szCs w:val="32"/>
        </w:rPr>
        <w:t>word</w:t>
      </w:r>
      <w:r>
        <w:rPr>
          <w:rFonts w:hint="eastAsia" w:ascii="宋体"/>
          <w:sz w:val="32"/>
          <w:szCs w:val="32"/>
        </w:rPr>
        <w:t>文件制作。</w:t>
      </w:r>
    </w:p>
    <w:p>
      <w:pPr>
        <w:adjustRightInd w:val="0"/>
        <w:snapToGrid w:val="0"/>
        <w:spacing w:line="360" w:lineRule="auto"/>
        <w:ind w:firstLine="640" w:firstLineChars="200"/>
        <w:rPr>
          <w:rFonts w:ascii="宋体" w:hAnsi="宋体"/>
          <w:bCs/>
          <w:sz w:val="28"/>
        </w:rPr>
      </w:pPr>
      <w:r>
        <w:rPr>
          <w:rFonts w:hint="eastAsia" w:ascii="宋体"/>
          <w:sz w:val="32"/>
          <w:szCs w:val="32"/>
        </w:rPr>
        <w:t>3、表格中如无特殊说明，一般需填写近三学年（申报数据截止日向前推算）的相关信息与数据。</w:t>
      </w:r>
    </w:p>
    <w:p>
      <w:pPr>
        <w:adjustRightInd w:val="0"/>
        <w:snapToGrid w:val="0"/>
        <w:spacing w:line="360" w:lineRule="auto"/>
        <w:ind w:firstLine="640" w:firstLineChars="200"/>
        <w:rPr>
          <w:rFonts w:ascii="宋体"/>
          <w:sz w:val="32"/>
        </w:rPr>
      </w:pPr>
      <w:r>
        <w:rPr>
          <w:rFonts w:hint="eastAsia" w:ascii="宋体"/>
          <w:sz w:val="32"/>
          <w:szCs w:val="32"/>
        </w:rPr>
        <w:t>4、各类数据的统计口径，如无特别说明，均按照所在学年初普通中学基层统计报表、年度财务报表的统计口径执行。</w:t>
      </w:r>
    </w:p>
    <w:p>
      <w:pPr>
        <w:adjustRightInd w:val="0"/>
        <w:snapToGrid w:val="0"/>
        <w:spacing w:line="360" w:lineRule="auto"/>
        <w:ind w:firstLine="640" w:firstLineChars="200"/>
        <w:rPr>
          <w:rFonts w:ascii="宋体"/>
          <w:sz w:val="32"/>
          <w:szCs w:val="32"/>
        </w:rPr>
      </w:pPr>
      <w:r>
        <w:rPr>
          <w:rFonts w:hint="eastAsia" w:ascii="宋体"/>
          <w:sz w:val="32"/>
        </w:rPr>
        <w:t>5、</w:t>
      </w:r>
      <w:r>
        <w:rPr>
          <w:rFonts w:hint="eastAsia" w:ascii="宋体"/>
          <w:sz w:val="32"/>
          <w:szCs w:val="32"/>
        </w:rPr>
        <w:t>所有表格中涉及到的名称应填写全称，不要简写或缩写；相关栏目填写不下，可自行增加篇幅。</w:t>
      </w:r>
    </w:p>
    <w:p>
      <w:pPr>
        <w:adjustRightInd w:val="0"/>
        <w:snapToGrid w:val="0"/>
        <w:spacing w:line="360" w:lineRule="auto"/>
        <w:ind w:firstLine="640" w:firstLineChars="200"/>
        <w:rPr>
          <w:rFonts w:ascii="宋体"/>
          <w:sz w:val="32"/>
          <w:szCs w:val="32"/>
        </w:rPr>
      </w:pPr>
      <w:r>
        <w:rPr>
          <w:rFonts w:hint="eastAsia" w:ascii="宋体"/>
          <w:sz w:val="32"/>
          <w:szCs w:val="32"/>
        </w:rPr>
        <w:t>6、“分</w:t>
      </w:r>
      <w:r>
        <w:rPr>
          <w:rFonts w:hint="eastAsia" w:ascii="宋体"/>
          <w:sz w:val="32"/>
        </w:rPr>
        <w:t>项自我评价”按B级指标作自评概述，B级指标下有多个C级指标的，需逐一分段叙述，开首并注明C级序号。</w:t>
      </w:r>
    </w:p>
    <w:p>
      <w:pPr>
        <w:adjustRightInd w:val="0"/>
        <w:snapToGrid w:val="0"/>
        <w:spacing w:line="360" w:lineRule="auto"/>
        <w:ind w:firstLine="640" w:firstLineChars="200"/>
        <w:rPr>
          <w:rFonts w:ascii="宋体"/>
          <w:sz w:val="32"/>
          <w:szCs w:val="32"/>
        </w:rPr>
      </w:pPr>
      <w:r>
        <w:rPr>
          <w:rFonts w:hint="eastAsia" w:ascii="宋体"/>
          <w:sz w:val="32"/>
          <w:szCs w:val="32"/>
        </w:rPr>
        <w:t>7、填表时请注意表格下方的“注”，按要求填写。</w:t>
      </w:r>
    </w:p>
    <w:p>
      <w:pPr>
        <w:adjustRightInd w:val="0"/>
        <w:snapToGrid w:val="0"/>
        <w:spacing w:line="360" w:lineRule="auto"/>
        <w:ind w:firstLine="640" w:firstLineChars="200"/>
        <w:rPr>
          <w:rFonts w:ascii="宋体"/>
          <w:sz w:val="32"/>
          <w:szCs w:val="32"/>
        </w:rPr>
      </w:pPr>
      <w:r>
        <w:rPr>
          <w:rFonts w:hint="eastAsia" w:ascii="宋体"/>
          <w:sz w:val="32"/>
          <w:szCs w:val="32"/>
        </w:rPr>
        <w:t>8、封面“学校名称”和“上级审核部门”栏填写后，需在正中加盖公章。</w:t>
      </w:r>
    </w:p>
    <w:p>
      <w:pPr>
        <w:adjustRightInd w:val="0"/>
        <w:snapToGrid w:val="0"/>
        <w:spacing w:line="360" w:lineRule="auto"/>
        <w:ind w:firstLine="640" w:firstLineChars="200"/>
        <w:rPr>
          <w:rFonts w:ascii="宋体"/>
          <w:sz w:val="32"/>
          <w:szCs w:val="32"/>
        </w:rPr>
      </w:pPr>
      <w:r>
        <w:rPr>
          <w:rFonts w:hint="eastAsia" w:ascii="宋体"/>
          <w:sz w:val="32"/>
          <w:szCs w:val="32"/>
        </w:rPr>
        <w:t>9、封面“编号”由组织现场督导评估的教育督导部门统一填写。</w:t>
      </w:r>
    </w:p>
    <w:p>
      <w:pPr>
        <w:adjustRightInd w:val="0"/>
        <w:snapToGrid w:val="0"/>
        <w:spacing w:line="360" w:lineRule="auto"/>
        <w:ind w:firstLine="640" w:firstLineChars="200"/>
        <w:rPr>
          <w:rFonts w:ascii="宋体"/>
          <w:sz w:val="32"/>
          <w:szCs w:val="32"/>
        </w:rPr>
      </w:pPr>
      <w:r>
        <w:rPr>
          <w:rFonts w:hint="eastAsia" w:ascii="宋体"/>
          <w:sz w:val="32"/>
          <w:szCs w:val="32"/>
        </w:rPr>
        <w:t>10、现场督导评估所用纸质材料务请双面打印并简装。</w:t>
      </w:r>
    </w:p>
    <w:p>
      <w:pPr>
        <w:spacing w:line="360" w:lineRule="auto"/>
        <w:ind w:firstLine="640" w:firstLineChars="200"/>
        <w:rPr>
          <w:rFonts w:ascii="宋体"/>
          <w:sz w:val="32"/>
          <w:szCs w:val="32"/>
        </w:rPr>
      </w:pPr>
    </w:p>
    <w:p>
      <w:pPr>
        <w:spacing w:line="360" w:lineRule="auto"/>
        <w:ind w:firstLine="480" w:firstLineChars="200"/>
        <w:rPr>
          <w:rFonts w:ascii="宋体"/>
          <w:sz w:val="24"/>
        </w:rPr>
      </w:pPr>
    </w:p>
    <w:p>
      <w:pPr>
        <w:jc w:val="center"/>
        <w:rPr>
          <w:rFonts w:ascii="黑体" w:hAnsi="黑体" w:eastAsia="黑体"/>
          <w:b/>
          <w:sz w:val="44"/>
          <w:szCs w:val="44"/>
        </w:rPr>
      </w:pPr>
      <w:r>
        <w:rPr>
          <w:rFonts w:hint="eastAsia" w:ascii="黑体" w:hAnsi="黑体" w:eastAsia="黑体"/>
          <w:b/>
          <w:sz w:val="44"/>
          <w:szCs w:val="44"/>
        </w:rPr>
        <w:t>目     录</w:t>
      </w:r>
    </w:p>
    <w:p>
      <w:pPr>
        <w:tabs>
          <w:tab w:val="left" w:pos="1260"/>
        </w:tabs>
        <w:adjustRightInd w:val="0"/>
        <w:snapToGrid w:val="0"/>
        <w:spacing w:line="560" w:lineRule="exact"/>
        <w:ind w:right="640"/>
        <w:jc w:val="right"/>
        <w:rPr>
          <w:rFonts w:ascii="宋体"/>
          <w:sz w:val="28"/>
          <w:szCs w:val="28"/>
        </w:rPr>
      </w:pPr>
      <w:r>
        <w:rPr>
          <w:rFonts w:hint="eastAsia" w:ascii="宋体"/>
          <w:b/>
          <w:sz w:val="28"/>
          <w:szCs w:val="28"/>
        </w:rPr>
        <w:t>一、学校基础数据</w:t>
      </w:r>
      <w:r>
        <w:rPr>
          <w:rFonts w:hint="eastAsia" w:ascii="宋体"/>
          <w:sz w:val="28"/>
          <w:szCs w:val="28"/>
        </w:rPr>
        <w:t xml:space="preserve"> ……………………………………………（ 4页）</w:t>
      </w:r>
    </w:p>
    <w:p>
      <w:pPr>
        <w:tabs>
          <w:tab w:val="left" w:pos="1260"/>
        </w:tabs>
        <w:adjustRightInd w:val="0"/>
        <w:snapToGrid w:val="0"/>
        <w:spacing w:line="560" w:lineRule="exact"/>
        <w:ind w:right="560"/>
        <w:rPr>
          <w:rFonts w:ascii="宋体"/>
          <w:sz w:val="28"/>
          <w:szCs w:val="28"/>
        </w:rPr>
      </w:pPr>
      <w:r>
        <w:rPr>
          <w:rFonts w:hint="eastAsia" w:ascii="宋体"/>
          <w:b/>
          <w:sz w:val="28"/>
          <w:szCs w:val="28"/>
        </w:rPr>
        <w:t>二、学校自评报告</w:t>
      </w:r>
      <w:r>
        <w:rPr>
          <w:rFonts w:hint="eastAsia" w:ascii="宋体"/>
          <w:sz w:val="28"/>
          <w:szCs w:val="28"/>
        </w:rPr>
        <w:t xml:space="preserve"> ……………………………………………（ 5页）</w:t>
      </w:r>
    </w:p>
    <w:p>
      <w:pPr>
        <w:tabs>
          <w:tab w:val="left" w:pos="1260"/>
        </w:tabs>
        <w:adjustRightInd w:val="0"/>
        <w:snapToGrid w:val="0"/>
        <w:spacing w:line="560" w:lineRule="exact"/>
        <w:ind w:right="560"/>
        <w:rPr>
          <w:rFonts w:ascii="宋体"/>
          <w:b/>
          <w:sz w:val="32"/>
        </w:rPr>
      </w:pPr>
      <w:r>
        <w:rPr>
          <w:rFonts w:hint="eastAsia" w:ascii="宋体"/>
          <w:b/>
          <w:sz w:val="28"/>
          <w:szCs w:val="28"/>
        </w:rPr>
        <w:t>三、分项自我评价</w:t>
      </w:r>
      <w:r>
        <w:rPr>
          <w:rFonts w:hint="eastAsia" w:ascii="宋体"/>
          <w:sz w:val="28"/>
          <w:szCs w:val="28"/>
        </w:rPr>
        <w:t xml:space="preserve"> …………………………………………… （ 10页）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 教育理念 …………………………………………… （ 10页）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B2． 办学思路 …………………………………………… （ 12页）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B3． 依法治校 …………………………………………… （ 13页）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B4． 规章制度 …………………………………………… （ 15页）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B5． 经费投入 …………………………………………… （ 17页）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B6． 设施设备 …………………………………………… （ 18页）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B7． 师德建设 …………………………………………… （ 21页）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B8． 干部队伍 …………………………………………… （ 22页）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B9． 教师发展 …………………………………………  （ 24页）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B10．招生分班 …………………………………………… （ 27页）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B11．课程建设 ……………………………………………（ 27页）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B12．身心健康 …………………………………………… （ 32页）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B13．作息时间 …………………………………………… （ 34页）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B14．作业考试 …………………………………………… （ 35页）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B15．教育收费 …………………………………………… （ 36页）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B16．德育工作 …………………………………………… （ 37页）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B17．各项活动 …………………………………………  （ 41页）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B18．教学常规 …………………………………………… （ 44页）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B19．教学改革 …………………………………………… （ 46页）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B20．学生素养 ……………………………………………（ 49页）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B21．特色声誉 ……………………………………………（ 50页）</w:t>
      </w:r>
    </w:p>
    <w:p>
      <w:pPr>
        <w:tabs>
          <w:tab w:val="left" w:pos="1260"/>
        </w:tabs>
        <w:adjustRightInd w:val="0"/>
        <w:snapToGrid w:val="0"/>
        <w:spacing w:line="560" w:lineRule="exact"/>
        <w:jc w:val="left"/>
        <w:rPr>
          <w:rFonts w:ascii="宋体"/>
          <w:b/>
          <w:sz w:val="28"/>
          <w:szCs w:val="28"/>
        </w:rPr>
      </w:pPr>
      <w:r>
        <w:rPr>
          <w:rFonts w:hint="eastAsia" w:ascii="宋体"/>
          <w:b/>
          <w:sz w:val="28"/>
          <w:szCs w:val="28"/>
        </w:rPr>
        <w:t>四、相 关 附 件</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1.校园校舍平面图………………………………………… （ 53页）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2.校园校舍面积统计表…………………………………   （ 53页）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3.教育信息化设施统计表………………………………   （ 54页）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4.办学规模与班额统计表………………………………   （ 55页）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5.学校领导班子成员情况表……………………………   （ 55页）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6.高中专任教师情况表…………………………………   （ 57页）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7.高中骨干教师情况表…………………………………   （ 60页）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8.学校总课表、周课表、作息时间表…………………   （ 61页）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9.学校理事会、家长委员会成员情况表 ………………  （ 66 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10.家长学校活动情况表…………………………………  （ 67页）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11.社会实践基地情况表…………………………………  （ 67页）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12.学生社团组织情况表…………………………………  （ 68页）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13.选修Ⅱ课程执行情况表………………………………  （ 68页）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14.教科研工作情况表……………………………………  （ 71页）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15.学生体质健康与近视眼防治情况表…………………  （ 72页）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16.学业水平测试情况表…………………………………  （ 72页）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17.毕业生去向情况表……………………………………  （ 73页）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18. 学校荣誉一览表……………………………………… （ 73页）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19. 学校发展规划………………………………………… （ 76页）</w:t>
      </w:r>
    </w:p>
    <w:p>
      <w:pPr>
        <w:tabs>
          <w:tab w:val="left" w:pos="1260"/>
        </w:tabs>
        <w:adjustRightInd w:val="0"/>
        <w:snapToGrid w:val="0"/>
        <w:spacing w:line="560" w:lineRule="exact"/>
        <w:ind w:right="560"/>
        <w:rPr>
          <w:rFonts w:ascii="宋体"/>
          <w:sz w:val="28"/>
          <w:szCs w:val="28"/>
        </w:rPr>
      </w:pPr>
      <w:r>
        <w:rPr>
          <w:rFonts w:hint="eastAsia" w:ascii="宋体"/>
          <w:sz w:val="28"/>
          <w:szCs w:val="28"/>
        </w:rPr>
        <w:t xml:space="preserve">  20.办学特色建设报告……………………………………  （ 89页）</w:t>
      </w:r>
    </w:p>
    <w:p>
      <w:pPr>
        <w:jc w:val="distribute"/>
        <w:rPr>
          <w:rFonts w:ascii="宋体"/>
          <w:b/>
          <w:sz w:val="44"/>
        </w:rPr>
      </w:pPr>
    </w:p>
    <w:p>
      <w:pPr>
        <w:jc w:val="center"/>
        <w:rPr>
          <w:rFonts w:ascii="宋体"/>
          <w:b/>
          <w:sz w:val="36"/>
          <w:szCs w:val="36"/>
        </w:rPr>
      </w:pPr>
      <w:r>
        <w:rPr>
          <w:rFonts w:hint="eastAsia" w:ascii="宋体"/>
          <w:b/>
          <w:sz w:val="36"/>
          <w:szCs w:val="36"/>
        </w:rPr>
        <w:t>一、学校基础数据表</w:t>
      </w:r>
    </w:p>
    <w:tbl>
      <w:tblPr>
        <w:tblStyle w:val="14"/>
        <w:tblW w:w="92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1"/>
        <w:gridCol w:w="2104"/>
        <w:gridCol w:w="2633"/>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571" w:type="dxa"/>
            <w:vAlign w:val="center"/>
          </w:tcPr>
          <w:p>
            <w:pPr>
              <w:jc w:val="center"/>
              <w:rPr>
                <w:b/>
                <w:bCs/>
              </w:rPr>
            </w:pPr>
            <w:r>
              <w:rPr>
                <w:rFonts w:hint="eastAsia"/>
                <w:b/>
                <w:bCs/>
              </w:rPr>
              <w:t>建校时间</w:t>
            </w:r>
          </w:p>
        </w:tc>
        <w:tc>
          <w:tcPr>
            <w:tcW w:w="2104" w:type="dxa"/>
            <w:vAlign w:val="center"/>
          </w:tcPr>
          <w:p>
            <w:pPr>
              <w:jc w:val="center"/>
              <w:rPr>
                <w:rFonts w:asciiTheme="minorEastAsia" w:hAnsiTheme="minorEastAsia" w:eastAsiaTheme="minorEastAsia"/>
              </w:rPr>
            </w:pPr>
            <w:r>
              <w:rPr>
                <w:rFonts w:hint="eastAsia" w:asciiTheme="minorEastAsia" w:hAnsiTheme="minorEastAsia" w:eastAsiaTheme="minorEastAsia"/>
              </w:rPr>
              <w:t>1956年</w:t>
            </w:r>
          </w:p>
        </w:tc>
        <w:tc>
          <w:tcPr>
            <w:tcW w:w="2633" w:type="dxa"/>
            <w:vAlign w:val="center"/>
          </w:tcPr>
          <w:p>
            <w:pPr>
              <w:jc w:val="center"/>
              <w:rPr>
                <w:b/>
                <w:bCs/>
              </w:rPr>
            </w:pPr>
            <w:r>
              <w:rPr>
                <w:rFonts w:hint="eastAsia"/>
                <w:b/>
                <w:bCs/>
              </w:rPr>
              <w:t>曾用校名</w:t>
            </w:r>
          </w:p>
        </w:tc>
        <w:tc>
          <w:tcPr>
            <w:tcW w:w="1946" w:type="dxa"/>
            <w:vAlign w:val="center"/>
          </w:tcPr>
          <w:p>
            <w:pPr>
              <w:jc w:val="center"/>
              <w:rPr>
                <w:rFonts w:asciiTheme="minorEastAsia" w:hAnsiTheme="minorEastAsia" w:eastAsiaTheme="minorEastAsia"/>
              </w:rPr>
            </w:pPr>
            <w:r>
              <w:rPr>
                <w:rFonts w:hint="eastAsia" w:asciiTheme="minorEastAsia" w:hAnsiTheme="minorEastAsia" w:eastAsiaTheme="minorEastAsia"/>
              </w:rPr>
              <w:t>武进区洛阳中学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571" w:type="dxa"/>
            <w:vAlign w:val="center"/>
          </w:tcPr>
          <w:p>
            <w:pPr>
              <w:jc w:val="center"/>
              <w:rPr>
                <w:b/>
                <w:bCs/>
              </w:rPr>
            </w:pPr>
            <w:r>
              <w:rPr>
                <w:rFonts w:hint="eastAsia"/>
                <w:b/>
                <w:bCs/>
              </w:rPr>
              <w:t>学校现址</w:t>
            </w:r>
          </w:p>
        </w:tc>
        <w:tc>
          <w:tcPr>
            <w:tcW w:w="2104" w:type="dxa"/>
            <w:vAlign w:val="center"/>
          </w:tcPr>
          <w:p>
            <w:pPr>
              <w:jc w:val="center"/>
              <w:rPr>
                <w:rFonts w:asciiTheme="minorEastAsia" w:hAnsiTheme="minorEastAsia" w:eastAsiaTheme="minorEastAsia"/>
              </w:rPr>
            </w:pPr>
            <w:r>
              <w:rPr>
                <w:rFonts w:hint="eastAsia" w:asciiTheme="minorEastAsia" w:hAnsiTheme="minorEastAsia" w:eastAsiaTheme="minorEastAsia"/>
              </w:rPr>
              <w:t>常州市武进区洛阳镇阳光路3号</w:t>
            </w:r>
          </w:p>
        </w:tc>
        <w:tc>
          <w:tcPr>
            <w:tcW w:w="2633" w:type="dxa"/>
            <w:vAlign w:val="center"/>
          </w:tcPr>
          <w:p>
            <w:pPr>
              <w:jc w:val="center"/>
              <w:rPr>
                <w:b/>
                <w:bCs/>
              </w:rPr>
            </w:pPr>
            <w:r>
              <w:rPr>
                <w:rFonts w:hint="eastAsia"/>
                <w:b/>
                <w:bCs/>
              </w:rPr>
              <w:t>所属街道（乡镇）</w:t>
            </w:r>
          </w:p>
        </w:tc>
        <w:tc>
          <w:tcPr>
            <w:tcW w:w="1946" w:type="dxa"/>
            <w:vAlign w:val="center"/>
          </w:tcPr>
          <w:p>
            <w:pPr>
              <w:jc w:val="center"/>
              <w:rPr>
                <w:rFonts w:asciiTheme="minorEastAsia" w:hAnsiTheme="minorEastAsia" w:eastAsiaTheme="minorEastAsia"/>
              </w:rPr>
            </w:pPr>
            <w:r>
              <w:rPr>
                <w:rFonts w:hint="eastAsia" w:asciiTheme="minorEastAsia" w:hAnsiTheme="minorEastAsia" w:eastAsiaTheme="minorEastAsia"/>
              </w:rPr>
              <w:t>武进区洛阳镇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571" w:type="dxa"/>
            <w:vAlign w:val="center"/>
          </w:tcPr>
          <w:p>
            <w:pPr>
              <w:jc w:val="center"/>
              <w:rPr>
                <w:b/>
                <w:bCs/>
              </w:rPr>
            </w:pPr>
            <w:r>
              <w:rPr>
                <w:rFonts w:hint="eastAsia"/>
                <w:b/>
                <w:bCs/>
              </w:rPr>
              <w:t>现有星级称号</w:t>
            </w:r>
          </w:p>
        </w:tc>
        <w:tc>
          <w:tcPr>
            <w:tcW w:w="2104" w:type="dxa"/>
            <w:vAlign w:val="center"/>
          </w:tcPr>
          <w:p>
            <w:pPr>
              <w:jc w:val="center"/>
              <w:rPr>
                <w:rFonts w:asciiTheme="minorEastAsia" w:hAnsiTheme="minorEastAsia" w:eastAsiaTheme="minorEastAsia"/>
              </w:rPr>
            </w:pPr>
            <w:r>
              <w:rPr>
                <w:rFonts w:hint="eastAsia" w:asciiTheme="minorEastAsia" w:hAnsiTheme="minorEastAsia" w:eastAsiaTheme="minorEastAsia"/>
              </w:rPr>
              <w:t>江苏省四星级高中</w:t>
            </w:r>
          </w:p>
        </w:tc>
        <w:tc>
          <w:tcPr>
            <w:tcW w:w="2633" w:type="dxa"/>
            <w:vAlign w:val="center"/>
          </w:tcPr>
          <w:p>
            <w:pPr>
              <w:jc w:val="center"/>
              <w:rPr>
                <w:b/>
                <w:bCs/>
              </w:rPr>
            </w:pPr>
            <w:r>
              <w:rPr>
                <w:rFonts w:hint="eastAsia"/>
                <w:b/>
                <w:bCs/>
              </w:rPr>
              <w:t>现有星级评定时间</w:t>
            </w:r>
          </w:p>
        </w:tc>
        <w:tc>
          <w:tcPr>
            <w:tcW w:w="1946" w:type="dxa"/>
            <w:vAlign w:val="center"/>
          </w:tcPr>
          <w:p>
            <w:pPr>
              <w:jc w:val="center"/>
              <w:rPr>
                <w:rFonts w:asciiTheme="minorEastAsia" w:hAnsiTheme="minorEastAsia" w:eastAsiaTheme="minorEastAsia"/>
              </w:rPr>
            </w:pPr>
            <w:r>
              <w:rPr>
                <w:rFonts w:hint="eastAsia" w:asciiTheme="minorEastAsia" w:hAnsiTheme="minorEastAsia" w:eastAsiaTheme="minorEastAsia"/>
              </w:rPr>
              <w:t>2014年3月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571" w:type="dxa"/>
            <w:vAlign w:val="center"/>
          </w:tcPr>
          <w:p>
            <w:pPr>
              <w:jc w:val="center"/>
              <w:rPr>
                <w:b/>
                <w:bCs/>
              </w:rPr>
            </w:pPr>
            <w:r>
              <w:rPr>
                <w:rFonts w:hint="eastAsia"/>
                <w:b/>
                <w:bCs/>
              </w:rPr>
              <w:t>上轮现场考察时间</w:t>
            </w:r>
          </w:p>
        </w:tc>
        <w:tc>
          <w:tcPr>
            <w:tcW w:w="2104" w:type="dxa"/>
            <w:vAlign w:val="center"/>
          </w:tcPr>
          <w:p>
            <w:pPr>
              <w:jc w:val="center"/>
              <w:rPr>
                <w:rFonts w:asciiTheme="minorEastAsia" w:hAnsiTheme="minorEastAsia" w:eastAsiaTheme="minorEastAsia"/>
              </w:rPr>
            </w:pPr>
            <w:r>
              <w:rPr>
                <w:rFonts w:hint="eastAsia" w:asciiTheme="minorEastAsia" w:hAnsiTheme="minorEastAsia" w:eastAsiaTheme="minorEastAsia"/>
              </w:rPr>
              <w:t>2011年10月</w:t>
            </w:r>
          </w:p>
        </w:tc>
        <w:tc>
          <w:tcPr>
            <w:tcW w:w="2633" w:type="dxa"/>
            <w:vAlign w:val="center"/>
          </w:tcPr>
          <w:p>
            <w:pPr>
              <w:jc w:val="center"/>
              <w:rPr>
                <w:b/>
                <w:bCs/>
              </w:rPr>
            </w:pPr>
            <w:r>
              <w:rPr>
                <w:rFonts w:hint="eastAsia"/>
                <w:b/>
                <w:bCs/>
              </w:rPr>
              <w:t>上轮现场考察评定等级</w:t>
            </w:r>
          </w:p>
        </w:tc>
        <w:tc>
          <w:tcPr>
            <w:tcW w:w="1946" w:type="dxa"/>
            <w:vAlign w:val="center"/>
          </w:tcPr>
          <w:p>
            <w:pPr>
              <w:jc w:val="center"/>
              <w:rPr>
                <w:rFonts w:asciiTheme="minorEastAsia" w:hAnsiTheme="minorEastAsia" w:eastAsiaTheme="minorEastAsia"/>
              </w:rPr>
            </w:pPr>
            <w:r>
              <w:rPr>
                <w:rFonts w:hint="eastAsia" w:asciiTheme="minorEastAsia" w:hAnsiTheme="minorEastAsia" w:eastAsiaTheme="minor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571" w:type="dxa"/>
            <w:vAlign w:val="center"/>
          </w:tcPr>
          <w:p>
            <w:pPr>
              <w:jc w:val="center"/>
              <w:rPr>
                <w:b/>
                <w:bCs/>
              </w:rPr>
            </w:pPr>
            <w:r>
              <w:rPr>
                <w:rFonts w:hint="eastAsia"/>
                <w:b/>
                <w:bCs/>
              </w:rPr>
              <w:t>学校办学理念</w:t>
            </w:r>
          </w:p>
        </w:tc>
        <w:tc>
          <w:tcPr>
            <w:tcW w:w="2104" w:type="dxa"/>
            <w:vAlign w:val="center"/>
          </w:tcPr>
          <w:p>
            <w:pPr>
              <w:jc w:val="center"/>
              <w:rPr>
                <w:rFonts w:asciiTheme="minorEastAsia" w:hAnsiTheme="minorEastAsia" w:eastAsiaTheme="minorEastAsia"/>
              </w:rPr>
            </w:pPr>
            <w:r>
              <w:rPr>
                <w:rFonts w:hint="eastAsia" w:asciiTheme="minorEastAsia" w:hAnsiTheme="minorEastAsia" w:eastAsiaTheme="minorEastAsia"/>
              </w:rPr>
              <w:t>让学生收获成功</w:t>
            </w:r>
          </w:p>
        </w:tc>
        <w:tc>
          <w:tcPr>
            <w:tcW w:w="2633" w:type="dxa"/>
            <w:vAlign w:val="center"/>
          </w:tcPr>
          <w:p>
            <w:pPr>
              <w:jc w:val="center"/>
              <w:rPr>
                <w:b/>
                <w:bCs/>
              </w:rPr>
            </w:pPr>
            <w:r>
              <w:rPr>
                <w:rFonts w:hint="eastAsia"/>
                <w:b/>
                <w:bCs/>
              </w:rPr>
              <w:t>学校办学特色</w:t>
            </w:r>
          </w:p>
        </w:tc>
        <w:tc>
          <w:tcPr>
            <w:tcW w:w="1946" w:type="dxa"/>
            <w:vAlign w:val="center"/>
          </w:tcPr>
          <w:p>
            <w:pPr>
              <w:jc w:val="center"/>
              <w:rPr>
                <w:rFonts w:asciiTheme="minorEastAsia" w:hAnsiTheme="minorEastAsia" w:eastAsiaTheme="minorEastAsia"/>
              </w:rPr>
            </w:pPr>
            <w:r>
              <w:rPr>
                <w:rFonts w:hint="eastAsia" w:asciiTheme="minorEastAsia" w:hAnsiTheme="minorEastAsia" w:eastAsiaTheme="minorEastAsia"/>
              </w:rPr>
              <w:t>艺术教育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571" w:type="dxa"/>
            <w:vAlign w:val="center"/>
          </w:tcPr>
          <w:p>
            <w:pPr>
              <w:jc w:val="center"/>
              <w:rPr>
                <w:b/>
                <w:bCs/>
              </w:rPr>
            </w:pPr>
            <w:r>
              <w:rPr>
                <w:rFonts w:hint="eastAsia"/>
                <w:b/>
                <w:bCs/>
              </w:rPr>
              <w:t>校长姓名</w:t>
            </w:r>
          </w:p>
        </w:tc>
        <w:tc>
          <w:tcPr>
            <w:tcW w:w="2104" w:type="dxa"/>
            <w:vAlign w:val="center"/>
          </w:tcPr>
          <w:p>
            <w:pPr>
              <w:jc w:val="center"/>
              <w:rPr>
                <w:rFonts w:asciiTheme="minorEastAsia" w:hAnsiTheme="minorEastAsia" w:eastAsiaTheme="minorEastAsia"/>
              </w:rPr>
            </w:pPr>
            <w:r>
              <w:rPr>
                <w:rFonts w:hint="eastAsia" w:asciiTheme="minorEastAsia" w:hAnsiTheme="minorEastAsia" w:eastAsiaTheme="minorEastAsia"/>
              </w:rPr>
              <w:t>沈纯芳</w:t>
            </w:r>
          </w:p>
        </w:tc>
        <w:tc>
          <w:tcPr>
            <w:tcW w:w="2633" w:type="dxa"/>
            <w:vAlign w:val="center"/>
          </w:tcPr>
          <w:p>
            <w:pPr>
              <w:jc w:val="center"/>
              <w:rPr>
                <w:b/>
                <w:bCs/>
              </w:rPr>
            </w:pPr>
            <w:r>
              <w:rPr>
                <w:rFonts w:hint="eastAsia"/>
                <w:b/>
                <w:bCs/>
              </w:rPr>
              <w:t>办公电话</w:t>
            </w:r>
          </w:p>
        </w:tc>
        <w:tc>
          <w:tcPr>
            <w:tcW w:w="1946" w:type="dxa"/>
            <w:vAlign w:val="center"/>
          </w:tcPr>
          <w:p>
            <w:pPr>
              <w:jc w:val="center"/>
              <w:rPr>
                <w:rFonts w:asciiTheme="minorEastAsia" w:hAnsiTheme="minorEastAsia" w:eastAsiaTheme="minorEastAsia"/>
              </w:rPr>
            </w:pPr>
            <w:r>
              <w:rPr>
                <w:rFonts w:hint="eastAsia" w:asciiTheme="minorEastAsia" w:hAnsiTheme="minorEastAsia" w:eastAsiaTheme="minorEastAsia"/>
              </w:rPr>
              <w:t>051988798958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571" w:type="dxa"/>
            <w:vAlign w:val="center"/>
          </w:tcPr>
          <w:p>
            <w:pPr>
              <w:jc w:val="center"/>
              <w:rPr>
                <w:b/>
                <w:bCs/>
              </w:rPr>
            </w:pPr>
            <w:r>
              <w:rPr>
                <w:rFonts w:hint="eastAsia"/>
                <w:b/>
                <w:bCs/>
              </w:rPr>
              <w:t>移动电话</w:t>
            </w:r>
          </w:p>
        </w:tc>
        <w:tc>
          <w:tcPr>
            <w:tcW w:w="2104" w:type="dxa"/>
            <w:vAlign w:val="center"/>
          </w:tcPr>
          <w:p>
            <w:pPr>
              <w:jc w:val="center"/>
              <w:rPr>
                <w:rFonts w:asciiTheme="minorEastAsia" w:hAnsiTheme="minorEastAsia" w:eastAsiaTheme="minorEastAsia"/>
              </w:rPr>
            </w:pPr>
            <w:r>
              <w:rPr>
                <w:rFonts w:hint="eastAsia" w:asciiTheme="minorEastAsia" w:hAnsiTheme="minorEastAsia" w:eastAsiaTheme="minorEastAsia"/>
              </w:rPr>
              <w:t>13775117528</w:t>
            </w:r>
          </w:p>
        </w:tc>
        <w:tc>
          <w:tcPr>
            <w:tcW w:w="2633" w:type="dxa"/>
            <w:vAlign w:val="center"/>
          </w:tcPr>
          <w:p>
            <w:pPr>
              <w:jc w:val="center"/>
              <w:rPr>
                <w:b/>
                <w:bCs/>
              </w:rPr>
            </w:pPr>
            <w:r>
              <w:rPr>
                <w:rFonts w:hint="eastAsia"/>
                <w:b/>
                <w:bCs/>
              </w:rPr>
              <w:t>电子邮箱</w:t>
            </w:r>
          </w:p>
        </w:tc>
        <w:tc>
          <w:tcPr>
            <w:tcW w:w="1946" w:type="dxa"/>
            <w:vAlign w:val="center"/>
          </w:tcPr>
          <w:p>
            <w:pPr>
              <w:jc w:val="center"/>
              <w:rPr>
                <w:rFonts w:asciiTheme="minorEastAsia" w:hAnsiTheme="minorEastAsia" w:eastAsiaTheme="minorEastAsia"/>
              </w:rPr>
            </w:pPr>
            <w:r>
              <w:rPr>
                <w:rFonts w:asciiTheme="minorEastAsia" w:hAnsiTheme="minorEastAsia" w:eastAsiaTheme="minorEastAsia"/>
              </w:rPr>
              <w:t>w</w:t>
            </w:r>
            <w:r>
              <w:rPr>
                <w:rFonts w:hint="eastAsia" w:asciiTheme="minorEastAsia" w:hAnsiTheme="minorEastAsia" w:eastAsiaTheme="minorEastAsia"/>
              </w:rPr>
              <w:t>jlygjzx@163.com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571" w:type="dxa"/>
            <w:vAlign w:val="center"/>
          </w:tcPr>
          <w:p>
            <w:pPr>
              <w:jc w:val="center"/>
              <w:rPr>
                <w:b/>
                <w:bCs/>
              </w:rPr>
            </w:pPr>
            <w:r>
              <w:rPr>
                <w:rFonts w:hint="eastAsia"/>
                <w:b/>
                <w:bCs/>
              </w:rPr>
              <w:t>传真电话</w:t>
            </w:r>
          </w:p>
        </w:tc>
        <w:tc>
          <w:tcPr>
            <w:tcW w:w="2104" w:type="dxa"/>
            <w:vAlign w:val="center"/>
          </w:tcPr>
          <w:p>
            <w:pPr>
              <w:jc w:val="center"/>
              <w:rPr>
                <w:rFonts w:asciiTheme="minorEastAsia" w:hAnsiTheme="minorEastAsia" w:eastAsiaTheme="minorEastAsia"/>
              </w:rPr>
            </w:pPr>
            <w:r>
              <w:rPr>
                <w:rFonts w:hint="eastAsia" w:asciiTheme="minorEastAsia" w:hAnsiTheme="minorEastAsia" w:eastAsiaTheme="minorEastAsia"/>
              </w:rPr>
              <w:t>051988798818</w:t>
            </w:r>
          </w:p>
        </w:tc>
        <w:tc>
          <w:tcPr>
            <w:tcW w:w="2633" w:type="dxa"/>
            <w:vAlign w:val="center"/>
          </w:tcPr>
          <w:p>
            <w:pPr>
              <w:jc w:val="center"/>
              <w:rPr>
                <w:b/>
                <w:bCs/>
              </w:rPr>
            </w:pPr>
            <w:r>
              <w:rPr>
                <w:rFonts w:hint="eastAsia"/>
                <w:b/>
                <w:bCs/>
              </w:rPr>
              <w:t>学校网址</w:t>
            </w:r>
          </w:p>
        </w:tc>
        <w:tc>
          <w:tcPr>
            <w:tcW w:w="1946" w:type="dxa"/>
            <w:vAlign w:val="center"/>
          </w:tcPr>
          <w:p>
            <w:pPr>
              <w:jc w:val="center"/>
              <w:rPr>
                <w:rFonts w:asciiTheme="minorEastAsia" w:hAnsiTheme="minorEastAsia" w:eastAsiaTheme="minorEastAsia"/>
              </w:rPr>
            </w:pPr>
            <w:r>
              <w:rPr>
                <w:rFonts w:asciiTheme="minorEastAsia" w:hAnsiTheme="minorEastAsia" w:eastAsiaTheme="minorEastAsia"/>
              </w:rPr>
              <w:t>http://www.wjlyms.net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571" w:type="dxa"/>
            <w:vAlign w:val="center"/>
          </w:tcPr>
          <w:p>
            <w:pPr>
              <w:jc w:val="center"/>
              <w:rPr>
                <w:b/>
                <w:bCs/>
              </w:rPr>
            </w:pPr>
            <w:r>
              <w:rPr>
                <w:rFonts w:hint="eastAsia"/>
                <w:b/>
                <w:bCs/>
              </w:rPr>
              <w:t>学校占地面积（平方米）</w:t>
            </w:r>
          </w:p>
        </w:tc>
        <w:tc>
          <w:tcPr>
            <w:tcW w:w="2104" w:type="dxa"/>
            <w:vAlign w:val="center"/>
          </w:tcPr>
          <w:p>
            <w:pPr>
              <w:jc w:val="center"/>
              <w:rPr>
                <w:rFonts w:asciiTheme="minorEastAsia" w:hAnsiTheme="minorEastAsia" w:eastAsiaTheme="minorEastAsia"/>
              </w:rPr>
            </w:pPr>
            <w:r>
              <w:rPr>
                <w:rFonts w:hint="eastAsia" w:asciiTheme="minorEastAsia" w:hAnsiTheme="minorEastAsia" w:eastAsiaTheme="minorEastAsia"/>
              </w:rPr>
              <w:t>79626</w:t>
            </w:r>
          </w:p>
        </w:tc>
        <w:tc>
          <w:tcPr>
            <w:tcW w:w="2633" w:type="dxa"/>
            <w:vAlign w:val="center"/>
          </w:tcPr>
          <w:p>
            <w:pPr>
              <w:jc w:val="center"/>
              <w:rPr>
                <w:b/>
                <w:bCs/>
              </w:rPr>
            </w:pPr>
            <w:r>
              <w:rPr>
                <w:rFonts w:hint="eastAsia"/>
                <w:b/>
                <w:bCs/>
              </w:rPr>
              <w:t>生均占地面积（平方米）</w:t>
            </w:r>
          </w:p>
        </w:tc>
        <w:tc>
          <w:tcPr>
            <w:tcW w:w="1946" w:type="dxa"/>
            <w:vAlign w:val="center"/>
          </w:tcPr>
          <w:p>
            <w:pPr>
              <w:jc w:val="center"/>
              <w:rPr>
                <w:rFonts w:asciiTheme="minorEastAsia" w:hAnsiTheme="minorEastAsia" w:eastAsiaTheme="minorEastAsia"/>
              </w:rPr>
            </w:pPr>
            <w:r>
              <w:rPr>
                <w:rFonts w:hint="eastAsia" w:asciiTheme="minorEastAsia" w:hAnsiTheme="minorEastAsia" w:eastAsiaTheme="minorEastAsia"/>
              </w:rPr>
              <w:t>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571" w:type="dxa"/>
            <w:vAlign w:val="center"/>
          </w:tcPr>
          <w:p>
            <w:pPr>
              <w:jc w:val="center"/>
              <w:rPr>
                <w:b/>
                <w:bCs/>
              </w:rPr>
            </w:pPr>
            <w:r>
              <w:rPr>
                <w:rFonts w:hint="eastAsia"/>
                <w:b/>
                <w:bCs/>
              </w:rPr>
              <w:t>学校建筑面积（平方米）</w:t>
            </w:r>
          </w:p>
        </w:tc>
        <w:tc>
          <w:tcPr>
            <w:tcW w:w="2104" w:type="dxa"/>
            <w:vAlign w:val="center"/>
          </w:tcPr>
          <w:p>
            <w:pPr>
              <w:jc w:val="center"/>
              <w:rPr>
                <w:rFonts w:asciiTheme="minorEastAsia" w:hAnsiTheme="minorEastAsia" w:eastAsiaTheme="minorEastAsia"/>
              </w:rPr>
            </w:pPr>
            <w:r>
              <w:rPr>
                <w:rFonts w:hint="eastAsia" w:asciiTheme="minorEastAsia" w:hAnsiTheme="minorEastAsia" w:eastAsiaTheme="minorEastAsia"/>
              </w:rPr>
              <w:t>48944</w:t>
            </w:r>
          </w:p>
        </w:tc>
        <w:tc>
          <w:tcPr>
            <w:tcW w:w="2633" w:type="dxa"/>
            <w:vAlign w:val="center"/>
          </w:tcPr>
          <w:p>
            <w:pPr>
              <w:jc w:val="center"/>
              <w:rPr>
                <w:b/>
                <w:bCs/>
              </w:rPr>
            </w:pPr>
            <w:r>
              <w:rPr>
                <w:rFonts w:hint="eastAsia"/>
                <w:b/>
                <w:bCs/>
              </w:rPr>
              <w:t>生均建筑面积（平方米）</w:t>
            </w:r>
          </w:p>
        </w:tc>
        <w:tc>
          <w:tcPr>
            <w:tcW w:w="1946" w:type="dxa"/>
            <w:vAlign w:val="center"/>
          </w:tcPr>
          <w:p>
            <w:pPr>
              <w:jc w:val="center"/>
              <w:rPr>
                <w:rFonts w:asciiTheme="minorEastAsia" w:hAnsiTheme="minorEastAsia" w:eastAsiaTheme="minorEastAsia"/>
              </w:rPr>
            </w:pPr>
            <w:r>
              <w:rPr>
                <w:rFonts w:hint="eastAsia" w:asciiTheme="minorEastAsia" w:hAnsiTheme="minorEastAsia" w:eastAsiaTheme="minor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571" w:type="dxa"/>
            <w:vAlign w:val="center"/>
          </w:tcPr>
          <w:p>
            <w:pPr>
              <w:jc w:val="center"/>
              <w:rPr>
                <w:b/>
                <w:bCs/>
              </w:rPr>
            </w:pPr>
            <w:r>
              <w:rPr>
                <w:rFonts w:hint="eastAsia"/>
                <w:b/>
                <w:bCs/>
              </w:rPr>
              <w:t>在籍学生总数（含初中）</w:t>
            </w:r>
          </w:p>
        </w:tc>
        <w:tc>
          <w:tcPr>
            <w:tcW w:w="2104" w:type="dxa"/>
            <w:vAlign w:val="center"/>
          </w:tcPr>
          <w:p>
            <w:pPr>
              <w:jc w:val="center"/>
              <w:rPr>
                <w:rFonts w:asciiTheme="minorEastAsia" w:hAnsiTheme="minorEastAsia" w:eastAsiaTheme="minorEastAsia"/>
              </w:rPr>
            </w:pPr>
            <w:r>
              <w:rPr>
                <w:rFonts w:hint="eastAsia" w:asciiTheme="minorEastAsia" w:hAnsiTheme="minorEastAsia" w:eastAsiaTheme="minorEastAsia"/>
              </w:rPr>
              <w:t>1399</w:t>
            </w:r>
          </w:p>
        </w:tc>
        <w:tc>
          <w:tcPr>
            <w:tcW w:w="2633" w:type="dxa"/>
            <w:vAlign w:val="center"/>
          </w:tcPr>
          <w:p>
            <w:pPr>
              <w:jc w:val="center"/>
              <w:rPr>
                <w:b/>
                <w:bCs/>
              </w:rPr>
            </w:pPr>
            <w:r>
              <w:rPr>
                <w:rFonts w:hint="eastAsia"/>
                <w:b/>
                <w:bCs/>
              </w:rPr>
              <w:t>实际在校初中生总数</w:t>
            </w:r>
          </w:p>
        </w:tc>
        <w:tc>
          <w:tcPr>
            <w:tcW w:w="1946" w:type="dxa"/>
            <w:vAlign w:val="center"/>
          </w:tcPr>
          <w:tbl>
            <w:tblPr>
              <w:tblStyle w:val="14"/>
              <w:tblW w:w="1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946" w:type="dxa"/>
                  <w:tcBorders>
                    <w:tr2bl w:val="single" w:color="auto" w:sz="4" w:space="0"/>
                  </w:tcBorders>
                  <w:vAlign w:val="center"/>
                </w:tcPr>
                <w:p>
                  <w:pPr>
                    <w:jc w:val="center"/>
                  </w:pPr>
                </w:p>
              </w:tc>
            </w:tr>
          </w:tbl>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571" w:type="dxa"/>
            <w:vAlign w:val="center"/>
          </w:tcPr>
          <w:p>
            <w:pPr>
              <w:jc w:val="center"/>
              <w:rPr>
                <w:b/>
                <w:bCs/>
              </w:rPr>
            </w:pPr>
            <w:r>
              <w:rPr>
                <w:rFonts w:hint="eastAsia"/>
                <w:b/>
                <w:bCs/>
              </w:rPr>
              <w:t>在籍高中生总数</w:t>
            </w:r>
          </w:p>
        </w:tc>
        <w:tc>
          <w:tcPr>
            <w:tcW w:w="2104" w:type="dxa"/>
            <w:vAlign w:val="center"/>
          </w:tcPr>
          <w:p>
            <w:pPr>
              <w:jc w:val="center"/>
              <w:rPr>
                <w:rFonts w:asciiTheme="minorEastAsia" w:hAnsiTheme="minorEastAsia" w:eastAsiaTheme="minorEastAsia"/>
              </w:rPr>
            </w:pPr>
            <w:r>
              <w:rPr>
                <w:rFonts w:hint="eastAsia" w:asciiTheme="minorEastAsia" w:hAnsiTheme="minorEastAsia" w:eastAsiaTheme="minorEastAsia"/>
              </w:rPr>
              <w:t>1399</w:t>
            </w:r>
          </w:p>
        </w:tc>
        <w:tc>
          <w:tcPr>
            <w:tcW w:w="2633" w:type="dxa"/>
            <w:vAlign w:val="center"/>
          </w:tcPr>
          <w:p>
            <w:pPr>
              <w:jc w:val="center"/>
              <w:rPr>
                <w:b/>
                <w:bCs/>
              </w:rPr>
            </w:pPr>
            <w:r>
              <w:rPr>
                <w:rFonts w:hint="eastAsia"/>
                <w:b/>
                <w:bCs/>
              </w:rPr>
              <w:t>实际在校高中生总数</w:t>
            </w:r>
          </w:p>
        </w:tc>
        <w:tc>
          <w:tcPr>
            <w:tcW w:w="1946" w:type="dxa"/>
            <w:vAlign w:val="center"/>
          </w:tcPr>
          <w:p>
            <w:pPr>
              <w:jc w:val="center"/>
              <w:rPr>
                <w:rFonts w:asciiTheme="minorEastAsia" w:hAnsiTheme="minorEastAsia" w:eastAsiaTheme="minorEastAsia"/>
              </w:rPr>
            </w:pPr>
            <w:r>
              <w:rPr>
                <w:rFonts w:hint="eastAsia" w:asciiTheme="minorEastAsia" w:hAnsiTheme="minorEastAsia" w:eastAsiaTheme="minorEastAsia"/>
              </w:rPr>
              <w:t>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571" w:type="dxa"/>
            <w:vAlign w:val="center"/>
          </w:tcPr>
          <w:p>
            <w:pPr>
              <w:jc w:val="center"/>
              <w:rPr>
                <w:b/>
                <w:bCs/>
              </w:rPr>
            </w:pPr>
            <w:r>
              <w:rPr>
                <w:rFonts w:hint="eastAsia"/>
                <w:b/>
                <w:bCs/>
              </w:rPr>
              <w:t>初中班级数</w:t>
            </w:r>
          </w:p>
        </w:tc>
        <w:tc>
          <w:tcPr>
            <w:tcW w:w="2104" w:type="dxa"/>
            <w:vAlign w:val="center"/>
          </w:tcPr>
          <w:tbl>
            <w:tblPr>
              <w:tblStyle w:val="14"/>
              <w:tblW w:w="20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62" w:type="dxa"/>
                  <w:tcBorders>
                    <w:tr2bl w:val="single" w:color="auto" w:sz="4" w:space="0"/>
                  </w:tcBorders>
                  <w:vAlign w:val="center"/>
                </w:tcPr>
                <w:p>
                  <w:pPr>
                    <w:jc w:val="center"/>
                  </w:pPr>
                </w:p>
              </w:tc>
            </w:tr>
          </w:tbl>
          <w:p>
            <w:pPr>
              <w:jc w:val="center"/>
              <w:rPr>
                <w:rFonts w:asciiTheme="minorEastAsia" w:hAnsiTheme="minorEastAsia" w:eastAsiaTheme="minorEastAsia"/>
              </w:rPr>
            </w:pPr>
          </w:p>
        </w:tc>
        <w:tc>
          <w:tcPr>
            <w:tcW w:w="2633" w:type="dxa"/>
            <w:vAlign w:val="center"/>
          </w:tcPr>
          <w:p>
            <w:pPr>
              <w:jc w:val="center"/>
              <w:rPr>
                <w:b/>
                <w:bCs/>
              </w:rPr>
            </w:pPr>
            <w:r>
              <w:rPr>
                <w:rFonts w:hint="eastAsia"/>
                <w:b/>
                <w:bCs/>
              </w:rPr>
              <w:t>高中班级数</w:t>
            </w:r>
          </w:p>
        </w:tc>
        <w:tc>
          <w:tcPr>
            <w:tcW w:w="1946" w:type="dxa"/>
            <w:vAlign w:val="center"/>
          </w:tcPr>
          <w:p>
            <w:pPr>
              <w:jc w:val="center"/>
              <w:rPr>
                <w:rFonts w:asciiTheme="minorEastAsia" w:hAnsiTheme="minorEastAsia" w:eastAsiaTheme="minorEastAsia"/>
              </w:rPr>
            </w:pPr>
            <w:r>
              <w:rPr>
                <w:rFonts w:hint="eastAsia" w:asciiTheme="minorEastAsia" w:hAnsiTheme="minorEastAsia" w:eastAsiaTheme="minor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571" w:type="dxa"/>
            <w:vAlign w:val="center"/>
          </w:tcPr>
          <w:p>
            <w:pPr>
              <w:jc w:val="center"/>
              <w:rPr>
                <w:b/>
                <w:bCs/>
              </w:rPr>
            </w:pPr>
            <w:r>
              <w:rPr>
                <w:rFonts w:hint="eastAsia"/>
                <w:b/>
                <w:bCs/>
              </w:rPr>
              <w:t>全校教职工总数</w:t>
            </w:r>
          </w:p>
        </w:tc>
        <w:tc>
          <w:tcPr>
            <w:tcW w:w="2104" w:type="dxa"/>
            <w:vAlign w:val="center"/>
          </w:tcPr>
          <w:p>
            <w:pPr>
              <w:jc w:val="center"/>
              <w:rPr>
                <w:rFonts w:asciiTheme="minorEastAsia" w:hAnsiTheme="minorEastAsia" w:eastAsiaTheme="minorEastAsia"/>
              </w:rPr>
            </w:pPr>
            <w:r>
              <w:rPr>
                <w:rFonts w:hint="eastAsia" w:asciiTheme="minorEastAsia" w:hAnsiTheme="minorEastAsia" w:eastAsiaTheme="minorEastAsia"/>
              </w:rPr>
              <w:t>107</w:t>
            </w:r>
          </w:p>
        </w:tc>
        <w:tc>
          <w:tcPr>
            <w:tcW w:w="2633" w:type="dxa"/>
            <w:vAlign w:val="center"/>
          </w:tcPr>
          <w:p>
            <w:pPr>
              <w:jc w:val="center"/>
              <w:rPr>
                <w:b/>
                <w:bCs/>
              </w:rPr>
            </w:pPr>
            <w:r>
              <w:rPr>
                <w:rFonts w:hint="eastAsia"/>
                <w:b/>
                <w:bCs/>
              </w:rPr>
              <w:t>高中专任教师总数</w:t>
            </w:r>
          </w:p>
        </w:tc>
        <w:tc>
          <w:tcPr>
            <w:tcW w:w="1946" w:type="dxa"/>
            <w:vAlign w:val="center"/>
          </w:tcPr>
          <w:p>
            <w:pPr>
              <w:jc w:val="center"/>
              <w:rPr>
                <w:rFonts w:asciiTheme="minorEastAsia" w:hAnsiTheme="minorEastAsia" w:eastAsiaTheme="minorEastAsia"/>
              </w:rPr>
            </w:pPr>
            <w:r>
              <w:rPr>
                <w:rFonts w:hint="eastAsia" w:asciiTheme="minorEastAsia" w:hAnsiTheme="minorEastAsia" w:eastAsiaTheme="minorEastAsia"/>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571" w:type="dxa"/>
            <w:vAlign w:val="center"/>
          </w:tcPr>
          <w:p>
            <w:pPr>
              <w:jc w:val="center"/>
              <w:rPr>
                <w:b/>
                <w:bCs/>
              </w:rPr>
            </w:pPr>
            <w:r>
              <w:rPr>
                <w:rFonts w:hint="eastAsia"/>
                <w:b/>
                <w:bCs/>
              </w:rPr>
              <w:t>中学一级教师数</w:t>
            </w:r>
          </w:p>
        </w:tc>
        <w:tc>
          <w:tcPr>
            <w:tcW w:w="2104" w:type="dxa"/>
            <w:vAlign w:val="center"/>
          </w:tcPr>
          <w:p>
            <w:pPr>
              <w:jc w:val="center"/>
              <w:rPr>
                <w:rFonts w:asciiTheme="minorEastAsia" w:hAnsiTheme="minorEastAsia" w:eastAsiaTheme="minorEastAsia"/>
              </w:rPr>
            </w:pPr>
            <w:r>
              <w:rPr>
                <w:rFonts w:hint="eastAsia" w:asciiTheme="minorEastAsia" w:hAnsiTheme="minorEastAsia" w:eastAsiaTheme="minorEastAsia"/>
              </w:rPr>
              <w:t>44</w:t>
            </w:r>
          </w:p>
        </w:tc>
        <w:tc>
          <w:tcPr>
            <w:tcW w:w="2633" w:type="dxa"/>
            <w:vAlign w:val="center"/>
          </w:tcPr>
          <w:p>
            <w:pPr>
              <w:jc w:val="center"/>
              <w:rPr>
                <w:b/>
                <w:bCs/>
              </w:rPr>
            </w:pPr>
            <w:r>
              <w:rPr>
                <w:rFonts w:hint="eastAsia"/>
                <w:b/>
                <w:bCs/>
              </w:rPr>
              <w:t>中学高级教师数</w:t>
            </w:r>
          </w:p>
        </w:tc>
        <w:tc>
          <w:tcPr>
            <w:tcW w:w="1946" w:type="dxa"/>
            <w:vAlign w:val="center"/>
          </w:tcPr>
          <w:p>
            <w:pPr>
              <w:jc w:val="center"/>
              <w:rPr>
                <w:rFonts w:asciiTheme="minorEastAsia" w:hAnsiTheme="minorEastAsia" w:eastAsiaTheme="minorEastAsia"/>
              </w:rPr>
            </w:pPr>
            <w:r>
              <w:rPr>
                <w:rFonts w:hint="eastAsia" w:asciiTheme="minorEastAsia" w:hAnsiTheme="minorEastAsia" w:eastAsiaTheme="minorEastAsi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571" w:type="dxa"/>
            <w:vAlign w:val="center"/>
          </w:tcPr>
          <w:p>
            <w:pPr>
              <w:jc w:val="center"/>
              <w:rPr>
                <w:b/>
                <w:bCs/>
              </w:rPr>
            </w:pPr>
            <w:r>
              <w:rPr>
                <w:rFonts w:hint="eastAsia"/>
                <w:b/>
                <w:bCs/>
              </w:rPr>
              <w:t>省特级教师数</w:t>
            </w:r>
          </w:p>
        </w:tc>
        <w:tc>
          <w:tcPr>
            <w:tcW w:w="2104" w:type="dxa"/>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2633" w:type="dxa"/>
            <w:vAlign w:val="center"/>
          </w:tcPr>
          <w:p>
            <w:pPr>
              <w:jc w:val="center"/>
              <w:rPr>
                <w:b/>
                <w:bCs/>
              </w:rPr>
            </w:pPr>
            <w:r>
              <w:rPr>
                <w:rFonts w:hint="eastAsia"/>
                <w:b/>
                <w:bCs/>
              </w:rPr>
              <w:t>省教授级高级教师数</w:t>
            </w:r>
          </w:p>
        </w:tc>
        <w:tc>
          <w:tcPr>
            <w:tcW w:w="1946" w:type="dxa"/>
            <w:vAlign w:val="center"/>
          </w:tcPr>
          <w:tbl>
            <w:tblPr>
              <w:tblStyle w:val="14"/>
              <w:tblW w:w="1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946" w:type="dxa"/>
                  <w:tcBorders>
                    <w:tr2bl w:val="single" w:color="auto" w:sz="4" w:space="0"/>
                  </w:tcBorders>
                  <w:vAlign w:val="center"/>
                </w:tcPr>
                <w:p>
                  <w:pPr>
                    <w:jc w:val="center"/>
                  </w:pPr>
                </w:p>
              </w:tc>
            </w:tr>
          </w:tbl>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571" w:type="dxa"/>
            <w:vAlign w:val="center"/>
          </w:tcPr>
          <w:p>
            <w:pPr>
              <w:jc w:val="center"/>
              <w:rPr>
                <w:b/>
                <w:bCs/>
              </w:rPr>
            </w:pPr>
            <w:r>
              <w:rPr>
                <w:rFonts w:hint="eastAsia"/>
                <w:b/>
                <w:bCs/>
              </w:rPr>
              <w:t>地市级学科带头人数</w:t>
            </w:r>
          </w:p>
        </w:tc>
        <w:tc>
          <w:tcPr>
            <w:tcW w:w="2104" w:type="dxa"/>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2633" w:type="dxa"/>
            <w:vAlign w:val="center"/>
          </w:tcPr>
          <w:p>
            <w:pPr>
              <w:jc w:val="center"/>
              <w:rPr>
                <w:b/>
                <w:bCs/>
              </w:rPr>
            </w:pPr>
            <w:r>
              <w:rPr>
                <w:rFonts w:hint="eastAsia"/>
                <w:b/>
                <w:bCs/>
              </w:rPr>
              <w:t>地市级教学能手数</w:t>
            </w:r>
          </w:p>
        </w:tc>
        <w:tc>
          <w:tcPr>
            <w:tcW w:w="1946" w:type="dxa"/>
            <w:vAlign w:val="center"/>
          </w:tcPr>
          <w:p>
            <w:pPr>
              <w:jc w:val="center"/>
              <w:rPr>
                <w:rFonts w:asciiTheme="minorEastAsia" w:hAnsiTheme="minorEastAsia" w:eastAsiaTheme="minorEastAsia"/>
              </w:rPr>
            </w:pPr>
            <w:r>
              <w:rPr>
                <w:rFonts w:hint="eastAsia" w:asciiTheme="minorEastAsia" w:hAnsiTheme="minorEastAsia" w:eastAsiaTheme="minor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571" w:type="dxa"/>
            <w:vAlign w:val="center"/>
          </w:tcPr>
          <w:p>
            <w:pPr>
              <w:jc w:val="center"/>
              <w:rPr>
                <w:b/>
                <w:bCs/>
              </w:rPr>
            </w:pPr>
            <w:r>
              <w:rPr>
                <w:rFonts w:hint="eastAsia"/>
                <w:b/>
                <w:bCs/>
              </w:rPr>
              <w:t>地市级教学新秀数</w:t>
            </w:r>
          </w:p>
        </w:tc>
        <w:tc>
          <w:tcPr>
            <w:tcW w:w="2104" w:type="dxa"/>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2633" w:type="dxa"/>
            <w:vAlign w:val="center"/>
          </w:tcPr>
          <w:p>
            <w:pPr>
              <w:jc w:val="center"/>
              <w:rPr>
                <w:b/>
                <w:bCs/>
              </w:rPr>
            </w:pPr>
            <w:r>
              <w:rPr>
                <w:rFonts w:hint="eastAsia"/>
                <w:b/>
                <w:bCs/>
              </w:rPr>
              <w:t>县、区级各类教学骨干数</w:t>
            </w:r>
          </w:p>
        </w:tc>
        <w:tc>
          <w:tcPr>
            <w:tcW w:w="1946" w:type="dxa"/>
            <w:vAlign w:val="center"/>
          </w:tcPr>
          <w:p>
            <w:pPr>
              <w:jc w:val="center"/>
              <w:rPr>
                <w:rFonts w:asciiTheme="minorEastAsia" w:hAnsiTheme="minorEastAsia" w:eastAsiaTheme="minorEastAsia"/>
              </w:rPr>
            </w:pPr>
            <w:r>
              <w:rPr>
                <w:rFonts w:hint="eastAsia" w:asciiTheme="minorEastAsia" w:hAnsiTheme="minorEastAsia" w:eastAsiaTheme="minor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571" w:type="dxa"/>
            <w:vAlign w:val="center"/>
          </w:tcPr>
          <w:p>
            <w:pPr>
              <w:jc w:val="center"/>
              <w:rPr>
                <w:b/>
                <w:bCs/>
              </w:rPr>
            </w:pPr>
            <w:r>
              <w:rPr>
                <w:rFonts w:hint="eastAsia"/>
                <w:b/>
                <w:bCs/>
              </w:rPr>
              <w:t>固定资产总值</w:t>
            </w:r>
          </w:p>
        </w:tc>
        <w:tc>
          <w:tcPr>
            <w:tcW w:w="2104" w:type="dxa"/>
            <w:vAlign w:val="center"/>
          </w:tcPr>
          <w:p>
            <w:pPr>
              <w:jc w:val="center"/>
              <w:rPr>
                <w:rFonts w:asciiTheme="minorEastAsia" w:hAnsiTheme="minorEastAsia" w:eastAsiaTheme="minorEastAsia"/>
              </w:rPr>
            </w:pPr>
            <w:r>
              <w:rPr>
                <w:rFonts w:hint="eastAsia" w:asciiTheme="minorEastAsia" w:hAnsiTheme="minorEastAsia" w:eastAsiaTheme="minorEastAsia"/>
              </w:rPr>
              <w:t>7649万元</w:t>
            </w:r>
          </w:p>
        </w:tc>
        <w:tc>
          <w:tcPr>
            <w:tcW w:w="2633" w:type="dxa"/>
            <w:vAlign w:val="center"/>
          </w:tcPr>
          <w:p>
            <w:pPr>
              <w:jc w:val="center"/>
              <w:rPr>
                <w:b/>
                <w:bCs/>
              </w:rPr>
            </w:pPr>
            <w:r>
              <w:rPr>
                <w:rFonts w:hint="eastAsia"/>
                <w:b/>
                <w:bCs/>
              </w:rPr>
              <w:t>教学设备总值</w:t>
            </w:r>
          </w:p>
        </w:tc>
        <w:tc>
          <w:tcPr>
            <w:tcW w:w="1946" w:type="dxa"/>
            <w:vAlign w:val="center"/>
          </w:tcPr>
          <w:p>
            <w:pPr>
              <w:jc w:val="center"/>
              <w:rPr>
                <w:rFonts w:asciiTheme="minorEastAsia" w:hAnsiTheme="minorEastAsia" w:eastAsiaTheme="minorEastAsia"/>
              </w:rPr>
            </w:pPr>
            <w:r>
              <w:rPr>
                <w:rFonts w:hint="eastAsia" w:asciiTheme="minorEastAsia" w:hAnsiTheme="minorEastAsia" w:eastAsiaTheme="minorEastAsia"/>
              </w:rPr>
              <w:t>1428万元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571" w:type="dxa"/>
            <w:vAlign w:val="center"/>
          </w:tcPr>
          <w:p>
            <w:pPr>
              <w:jc w:val="center"/>
              <w:rPr>
                <w:b/>
                <w:bCs/>
              </w:rPr>
            </w:pPr>
            <w:r>
              <w:rPr>
                <w:rFonts w:hint="eastAsia"/>
                <w:b/>
                <w:bCs/>
              </w:rPr>
              <w:t>年度教育经费总收入</w:t>
            </w:r>
          </w:p>
        </w:tc>
        <w:tc>
          <w:tcPr>
            <w:tcW w:w="2104" w:type="dxa"/>
            <w:vAlign w:val="center"/>
          </w:tcPr>
          <w:p>
            <w:pPr>
              <w:jc w:val="center"/>
              <w:rPr>
                <w:rFonts w:asciiTheme="minorEastAsia" w:hAnsiTheme="minorEastAsia" w:eastAsiaTheme="minorEastAsia"/>
              </w:rPr>
            </w:pPr>
            <w:r>
              <w:rPr>
                <w:rFonts w:hint="eastAsia" w:asciiTheme="minorEastAsia" w:hAnsiTheme="minorEastAsia" w:eastAsiaTheme="minorEastAsia"/>
              </w:rPr>
              <w:t>2231万元</w:t>
            </w:r>
          </w:p>
        </w:tc>
        <w:tc>
          <w:tcPr>
            <w:tcW w:w="2633" w:type="dxa"/>
            <w:vAlign w:val="center"/>
          </w:tcPr>
          <w:p>
            <w:pPr>
              <w:jc w:val="center"/>
              <w:rPr>
                <w:b/>
                <w:bCs/>
              </w:rPr>
            </w:pPr>
            <w:r>
              <w:rPr>
                <w:rFonts w:hint="eastAsia"/>
                <w:b/>
                <w:bCs/>
              </w:rPr>
              <w:t>年度财政拨款数</w:t>
            </w:r>
          </w:p>
        </w:tc>
        <w:tc>
          <w:tcPr>
            <w:tcW w:w="1946" w:type="dxa"/>
            <w:vAlign w:val="center"/>
          </w:tcPr>
          <w:p>
            <w:pPr>
              <w:jc w:val="center"/>
              <w:rPr>
                <w:rFonts w:asciiTheme="minorEastAsia" w:hAnsiTheme="minorEastAsia" w:eastAsiaTheme="minorEastAsia"/>
              </w:rPr>
            </w:pPr>
            <w:r>
              <w:rPr>
                <w:rFonts w:hint="eastAsia" w:asciiTheme="minorEastAsia" w:hAnsiTheme="minorEastAsia" w:eastAsiaTheme="minorEastAsia"/>
              </w:rPr>
              <w:t>1818万元</w:t>
            </w:r>
          </w:p>
        </w:tc>
      </w:tr>
    </w:tbl>
    <w:p>
      <w:pPr>
        <w:jc w:val="left"/>
        <w:rPr>
          <w:rFonts w:ascii="宋体"/>
          <w:szCs w:val="21"/>
        </w:rPr>
      </w:pPr>
      <w:r>
        <w:rPr>
          <w:rFonts w:hint="eastAsia" w:ascii="宋体"/>
          <w:szCs w:val="21"/>
        </w:rPr>
        <w:t>注：各类骨干教师数量请勿重复统计，如有多项荣誉称号只统计一次，就高不就低。</w:t>
      </w:r>
    </w:p>
    <w:p>
      <w:pPr>
        <w:jc w:val="left"/>
        <w:rPr>
          <w:rFonts w:ascii="宋体"/>
          <w:szCs w:val="21"/>
        </w:rPr>
      </w:pPr>
    </w:p>
    <w:p>
      <w:pPr>
        <w:jc w:val="left"/>
        <w:rPr>
          <w:rFonts w:ascii="宋体"/>
          <w:szCs w:val="21"/>
        </w:rPr>
      </w:pPr>
    </w:p>
    <w:p>
      <w:pPr>
        <w:jc w:val="center"/>
        <w:rPr>
          <w:rFonts w:ascii="宋体"/>
          <w:b/>
          <w:sz w:val="36"/>
          <w:szCs w:val="36"/>
        </w:rPr>
      </w:pPr>
      <w:r>
        <w:rPr>
          <w:rFonts w:hint="eastAsia" w:ascii="宋体"/>
          <w:b/>
          <w:sz w:val="36"/>
          <w:szCs w:val="36"/>
        </w:rPr>
        <w:t>二、学校自评报告</w:t>
      </w: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2" w:hRule="atLeast"/>
        </w:trPr>
        <w:tc>
          <w:tcPr>
            <w:tcW w:w="9291" w:type="dxa"/>
            <w:tcBorders>
              <w:bottom w:val="single" w:color="auto" w:sz="4" w:space="0"/>
            </w:tcBorders>
          </w:tcPr>
          <w:p>
            <w:pPr>
              <w:spacing w:line="360" w:lineRule="exact"/>
              <w:jc w:val="center"/>
              <w:rPr>
                <w:rFonts w:ascii="黑体" w:hAnsi="黑体" w:eastAsia="黑体"/>
                <w:b/>
                <w:bCs/>
                <w:sz w:val="28"/>
                <w:szCs w:val="28"/>
              </w:rPr>
            </w:pPr>
            <w:r>
              <w:rPr>
                <w:rFonts w:hint="eastAsia" w:ascii="黑体" w:hAnsi="黑体" w:eastAsia="黑体" w:cs="宋体"/>
                <w:b/>
                <w:bCs/>
                <w:sz w:val="28"/>
                <w:szCs w:val="28"/>
              </w:rPr>
              <w:t>特色立校内涵发展  全面提升办学品质</w:t>
            </w:r>
          </w:p>
          <w:p>
            <w:pPr>
              <w:spacing w:line="360" w:lineRule="exact"/>
              <w:jc w:val="center"/>
              <w:rPr>
                <w:rFonts w:ascii="宋体" w:hAnsi="宋体"/>
                <w:b/>
                <w:szCs w:val="21"/>
              </w:rPr>
            </w:pPr>
            <w:r>
              <w:rPr>
                <w:rFonts w:hint="eastAsia"/>
                <w:b/>
                <w:szCs w:val="21"/>
              </w:rPr>
              <w:t>——常州市武进区洛阳高级中学督导评估自评报告</w:t>
            </w:r>
          </w:p>
          <w:p>
            <w:pPr>
              <w:spacing w:line="360" w:lineRule="exact"/>
              <w:ind w:firstLine="420" w:firstLineChars="200"/>
              <w:rPr>
                <w:rFonts w:ascii="宋体" w:hAnsi="宋体"/>
                <w:szCs w:val="21"/>
              </w:rPr>
            </w:pPr>
            <w:r>
              <w:rPr>
                <w:rFonts w:hint="eastAsia" w:ascii="宋体" w:hAnsi="宋体"/>
                <w:szCs w:val="21"/>
              </w:rPr>
              <w:t>多年来，洛阳高级中学在教育行政主管部门、地方党委政府以及社会各界的大力支持下，与时俱进，砥砺奋进。学校创办于1956年，</w:t>
            </w:r>
            <w:r>
              <w:rPr>
                <w:rFonts w:ascii="宋体" w:hAnsi="宋体"/>
                <w:szCs w:val="21"/>
              </w:rPr>
              <w:t>1968</w:t>
            </w:r>
            <w:r>
              <w:rPr>
                <w:rFonts w:hint="eastAsia" w:ascii="宋体" w:hAnsi="宋体"/>
                <w:szCs w:val="21"/>
              </w:rPr>
              <w:t>年成为完全中学，1993年，学校率先在武进易地新建。2004年由省重点转评为省三星级高中。2013年5月实施初高中分设，在现址成立常州市武进区洛阳高级中学，2014年3月正式晋升为江苏省四星级普通高中。其中，学校在2011年11月接受了上一轮常州市人民政府督导评估验收。</w:t>
            </w:r>
          </w:p>
          <w:p>
            <w:pPr>
              <w:spacing w:line="360" w:lineRule="exact"/>
              <w:jc w:val="center"/>
              <w:rPr>
                <w:rFonts w:ascii="宋体" w:hAnsi="宋体"/>
                <w:b/>
                <w:szCs w:val="21"/>
              </w:rPr>
            </w:pPr>
            <w:r>
              <w:rPr>
                <w:rFonts w:hint="eastAsia" w:ascii="宋体" w:hAnsi="宋体"/>
                <w:b/>
                <w:szCs w:val="21"/>
              </w:rPr>
              <w:t>第一部分  学校概况</w:t>
            </w:r>
          </w:p>
          <w:p>
            <w:pPr>
              <w:spacing w:line="360" w:lineRule="exact"/>
              <w:ind w:firstLine="420" w:firstLineChars="200"/>
              <w:rPr>
                <w:rFonts w:ascii="宋体" w:hAnsi="宋体"/>
                <w:color w:val="000000"/>
                <w:szCs w:val="21"/>
              </w:rPr>
            </w:pPr>
            <w:r>
              <w:rPr>
                <w:rFonts w:hint="eastAsia" w:ascii="宋体" w:hAnsi="宋体"/>
                <w:szCs w:val="21"/>
              </w:rPr>
              <w:t>学校占地面积79626平方米，建筑面积48944 平方米。经持续投入改造，学校教学楼等各功能区提档升级，更趋现代化、信息化；校园环境更加优美，文化气息更加浓郁。学校现有教学班30个，在校学生1399人，其中艺术班学生661名。在编教职员工107人，其中专任教师97人。专任教师中，本科学历比例达100%，研究生学历20人；中、高级职称80人，占教师总数的82%；</w:t>
            </w:r>
            <w:r>
              <w:rPr>
                <w:rFonts w:hint="eastAsia" w:ascii="宋体" w:hAnsi="宋体"/>
                <w:color w:val="000000"/>
                <w:szCs w:val="21"/>
              </w:rPr>
              <w:t>市、区五级梯队教师32人，占比达到33%。</w:t>
            </w:r>
          </w:p>
          <w:p>
            <w:pPr>
              <w:spacing w:line="360" w:lineRule="exact"/>
              <w:ind w:firstLine="420" w:firstLineChars="200"/>
              <w:rPr>
                <w:rFonts w:ascii="宋体" w:hAnsi="宋体"/>
                <w:szCs w:val="21"/>
              </w:rPr>
            </w:pPr>
            <w:r>
              <w:rPr>
                <w:rFonts w:hint="eastAsia" w:ascii="宋体" w:hAnsi="宋体"/>
                <w:szCs w:val="21"/>
              </w:rPr>
              <w:t>学校坚持“让学生收获成功”的办学理念，主动发展，内涵发展，特色发展，优质发展。学校是全国百强特色学校，江苏省艺术教育特色学校。近三年来，学校又先后获得“全国特色教育示范单位”“全国科普教育示范基地”“江苏省中小学书香校园阅读基地”“武进区文明单位”等荣誉，成为中国美术学院生源培育基地实验学校。学校连续两年获得全国青少年读书活动“组织奖”，连续十一年获武进区全面实施素质教育工作一等奖。。</w:t>
            </w:r>
          </w:p>
          <w:p>
            <w:pPr>
              <w:spacing w:line="360" w:lineRule="exact"/>
              <w:jc w:val="center"/>
              <w:rPr>
                <w:rFonts w:ascii="宋体" w:hAnsi="宋体"/>
                <w:b/>
                <w:szCs w:val="21"/>
              </w:rPr>
            </w:pPr>
            <w:r>
              <w:rPr>
                <w:rFonts w:hint="eastAsia" w:ascii="宋体" w:hAnsi="宋体"/>
                <w:b/>
                <w:szCs w:val="21"/>
              </w:rPr>
              <w:t>第二部分  回顾总结</w:t>
            </w:r>
          </w:p>
          <w:p>
            <w:pPr>
              <w:pStyle w:val="18"/>
              <w:widowControl/>
              <w:spacing w:line="360" w:lineRule="exact"/>
              <w:ind w:firstLine="411" w:firstLineChars="196"/>
              <w:jc w:val="left"/>
              <w:rPr>
                <w:rFonts w:ascii="宋体" w:hAnsi="宋体"/>
                <w:szCs w:val="21"/>
              </w:rPr>
            </w:pPr>
            <w:r>
              <w:rPr>
                <w:rFonts w:hint="eastAsia" w:ascii="宋体" w:hAnsi="宋体"/>
                <w:bCs/>
                <w:szCs w:val="21"/>
              </w:rPr>
              <w:t>学校贯彻落实党的教育方针，树立德育为先，能力为重、全面发展的育人理念，以立德树人为根本任务，</w:t>
            </w:r>
            <w:r>
              <w:rPr>
                <w:rFonts w:hint="eastAsia" w:ascii="宋体" w:hAnsi="宋体"/>
                <w:szCs w:val="21"/>
              </w:rPr>
              <w:t>坚持正确的办学方向，坚持正确的文化引领，加快内涵建设，加快特色发展，努力提升学校办学品味，努力提高教育教学质量，办学成效显著。表现在：</w:t>
            </w:r>
          </w:p>
          <w:p>
            <w:pPr>
              <w:pStyle w:val="18"/>
              <w:widowControl/>
              <w:spacing w:line="360" w:lineRule="exact"/>
              <w:ind w:firstLine="422"/>
              <w:jc w:val="left"/>
              <w:rPr>
                <w:rFonts w:ascii="宋体" w:hAnsi="宋体"/>
                <w:b/>
                <w:bCs/>
                <w:szCs w:val="21"/>
              </w:rPr>
            </w:pPr>
            <w:r>
              <w:rPr>
                <w:rFonts w:hint="eastAsia" w:ascii="宋体" w:hAnsi="宋体"/>
                <w:b/>
                <w:bCs/>
                <w:szCs w:val="21"/>
              </w:rPr>
              <w:t>一、规范管理，构建现代学校制度。</w:t>
            </w:r>
          </w:p>
          <w:p>
            <w:pPr>
              <w:pStyle w:val="18"/>
              <w:widowControl/>
              <w:spacing w:line="360" w:lineRule="exact"/>
              <w:jc w:val="left"/>
              <w:rPr>
                <w:rFonts w:ascii="宋体" w:hAnsi="宋体"/>
                <w:b/>
                <w:bCs/>
                <w:szCs w:val="21"/>
              </w:rPr>
            </w:pPr>
            <w:r>
              <w:rPr>
                <w:rFonts w:hint="eastAsia" w:ascii="宋体" w:hAnsi="宋体"/>
                <w:szCs w:val="21"/>
              </w:rPr>
              <w:t>学校坚持推进“依法办学、自主管理、民主监督、社会参与”的现代学校制度建设，着力提高管理的品质与水平。</w:t>
            </w:r>
          </w:p>
          <w:p>
            <w:pPr>
              <w:pStyle w:val="18"/>
              <w:widowControl/>
              <w:spacing w:line="360" w:lineRule="exact"/>
              <w:ind w:firstLine="422"/>
              <w:jc w:val="left"/>
              <w:rPr>
                <w:rFonts w:ascii="宋体" w:hAnsi="宋体"/>
                <w:szCs w:val="21"/>
              </w:rPr>
            </w:pPr>
            <w:r>
              <w:rPr>
                <w:rFonts w:hint="eastAsia" w:ascii="宋体" w:hAnsi="宋体"/>
                <w:b/>
                <w:bCs/>
                <w:szCs w:val="21"/>
              </w:rPr>
              <w:t>（一）做好党建工作</w:t>
            </w:r>
            <w:r>
              <w:rPr>
                <w:rFonts w:hint="eastAsia" w:ascii="宋体" w:hAnsi="宋体"/>
                <w:szCs w:val="21"/>
              </w:rPr>
              <w:t>。学校坚持党对一切工作的领导。学校党建工作也不例外。</w:t>
            </w:r>
            <w:r>
              <w:rPr>
                <w:rFonts w:hint="eastAsia" w:ascii="宋体" w:hAnsi="宋体"/>
                <w:b/>
                <w:szCs w:val="21"/>
              </w:rPr>
              <w:t>一是聚精会神抓好党建。</w:t>
            </w:r>
            <w:r>
              <w:rPr>
                <w:rFonts w:hint="eastAsia" w:ascii="宋体" w:hAnsi="宋体"/>
                <w:szCs w:val="21"/>
              </w:rPr>
              <w:t>学校党支部通过专家系列党课、民主生活会、党日活动等，形式多样地开展党的群众路线、“三严三实”、“ 两学一做”等主题教育实践活动，加强支部自身建设。</w:t>
            </w:r>
            <w:r>
              <w:rPr>
                <w:rFonts w:hint="eastAsia" w:ascii="宋体" w:hAnsi="宋体"/>
                <w:b/>
                <w:szCs w:val="21"/>
              </w:rPr>
              <w:t>二是发挥先锋模范作用。</w:t>
            </w:r>
            <w:r>
              <w:rPr>
                <w:rFonts w:hint="eastAsia" w:ascii="宋体" w:hAnsi="宋体"/>
                <w:szCs w:val="21"/>
              </w:rPr>
              <w:t>通过重温入党誓词、戴党徽亮身份、争创“先锋模范”等活动强化党员教师的责任担当和示范引领作用，加强党员队伍建设。</w:t>
            </w:r>
            <w:r>
              <w:rPr>
                <w:rFonts w:hint="eastAsia" w:ascii="宋体" w:hAnsi="宋体"/>
                <w:b/>
                <w:szCs w:val="21"/>
              </w:rPr>
              <w:t>三是积极引领群团工作。</w:t>
            </w:r>
            <w:r>
              <w:rPr>
                <w:rFonts w:hint="eastAsia" w:ascii="宋体" w:hAnsi="宋体"/>
                <w:szCs w:val="21"/>
              </w:rPr>
              <w:t>在党支部引领下，学校工会、团委等群团组织先后顺利完成换届选举，工作迸发新的活力。</w:t>
            </w:r>
          </w:p>
          <w:p>
            <w:pPr>
              <w:pStyle w:val="18"/>
              <w:widowControl/>
              <w:spacing w:line="360" w:lineRule="exact"/>
              <w:jc w:val="left"/>
              <w:rPr>
                <w:rFonts w:ascii="宋体" w:hAnsi="宋体"/>
                <w:szCs w:val="21"/>
              </w:rPr>
            </w:pPr>
            <w:r>
              <w:rPr>
                <w:rFonts w:hint="eastAsia" w:ascii="宋体" w:hAnsi="宋体"/>
                <w:szCs w:val="21"/>
              </w:rPr>
              <w:t>学校党建工作获得</w:t>
            </w:r>
            <w:r>
              <w:rPr>
                <w:rFonts w:ascii="宋体" w:hAnsi="宋体"/>
                <w:szCs w:val="21"/>
              </w:rPr>
              <w:t>上级党委</w:t>
            </w:r>
            <w:r>
              <w:rPr>
                <w:rFonts w:hint="eastAsia" w:ascii="宋体" w:hAnsi="宋体"/>
                <w:szCs w:val="21"/>
              </w:rPr>
              <w:t>有关领导</w:t>
            </w:r>
            <w:r>
              <w:rPr>
                <w:rFonts w:ascii="宋体" w:hAnsi="宋体"/>
                <w:szCs w:val="21"/>
              </w:rPr>
              <w:t>“最完善、最深入”的</w:t>
            </w:r>
            <w:r>
              <w:rPr>
                <w:rFonts w:hint="eastAsia" w:ascii="宋体" w:hAnsi="宋体"/>
                <w:szCs w:val="21"/>
              </w:rPr>
              <w:t>高度</w:t>
            </w:r>
            <w:r>
              <w:rPr>
                <w:rFonts w:ascii="宋体" w:hAnsi="宋体"/>
                <w:szCs w:val="21"/>
              </w:rPr>
              <w:t>评价</w:t>
            </w:r>
            <w:r>
              <w:rPr>
                <w:rFonts w:hint="eastAsia" w:ascii="宋体" w:hAnsi="宋体"/>
                <w:szCs w:val="21"/>
              </w:rPr>
              <w:t>。学校党支部分别荣获中共常州市委和常州市教育工委“先进基层党组织”光荣称号，成为武进区教育系统唯一。</w:t>
            </w:r>
          </w:p>
          <w:p>
            <w:pPr>
              <w:pStyle w:val="18"/>
              <w:widowControl/>
              <w:spacing w:line="360" w:lineRule="exact"/>
              <w:ind w:firstLine="422"/>
              <w:jc w:val="left"/>
              <w:rPr>
                <w:rFonts w:ascii="宋体" w:hAnsi="宋体"/>
                <w:bCs/>
                <w:szCs w:val="21"/>
              </w:rPr>
            </w:pPr>
            <w:r>
              <w:rPr>
                <w:rFonts w:hint="eastAsia" w:ascii="宋体" w:hAnsi="宋体"/>
                <w:b/>
                <w:bCs/>
                <w:szCs w:val="21"/>
              </w:rPr>
              <w:t>（二）做实规范管理。一是新制度。</w:t>
            </w:r>
            <w:r>
              <w:rPr>
                <w:rFonts w:hint="eastAsia" w:ascii="宋体" w:hAnsi="宋体"/>
                <w:szCs w:val="21"/>
              </w:rPr>
              <w:t>2017年学校修订《洛阳高级中学》章程，并不断修改完善以服务教学、服务学生为导向的岗位责任制度。进行新一轮三年主动发展规划论证。顺利完成中层干部竞聘和教职工第二轮岗位聘任，程序公正公开，过程严谨规范。</w:t>
            </w:r>
            <w:r>
              <w:rPr>
                <w:rFonts w:hint="eastAsia" w:ascii="宋体" w:hAnsi="宋体"/>
                <w:b/>
                <w:bCs/>
                <w:szCs w:val="21"/>
              </w:rPr>
              <w:t>二是精管理。</w:t>
            </w:r>
            <w:r>
              <w:rPr>
                <w:rFonts w:hint="eastAsia" w:ascii="宋体" w:hAnsi="宋体"/>
                <w:bCs/>
                <w:szCs w:val="21"/>
              </w:rPr>
              <w:t>学校坚持每周校长办公会、双周党政联席会、每月班级管理总结会等集体议事制度，完善民主与集中相统一的决策机制；坚持部门管理与级部管理相结合的管理体系，健全条块结合、重心下移的“扁平式”工作机制。</w:t>
            </w:r>
            <w:r>
              <w:rPr>
                <w:rFonts w:hint="eastAsia" w:ascii="宋体" w:hAnsi="宋体"/>
                <w:b/>
                <w:bCs/>
                <w:szCs w:val="21"/>
              </w:rPr>
              <w:t>三是重民主。</w:t>
            </w:r>
            <w:r>
              <w:rPr>
                <w:rFonts w:hint="eastAsia" w:ascii="宋体" w:hAnsi="宋体"/>
                <w:bCs/>
                <w:szCs w:val="21"/>
              </w:rPr>
              <w:t>学校坚持校务公开，在充分发挥教代会民主监督的基础上，通过施行出台制度先座谈、安排工作先沟通等工作机制进一步发扬民主，激发教师积极性；通过完善家委会工作机制，定期邀请家委会成员来校听课、参与食堂管理等密切家校联系，增进家校互信；同时还积极邀请历届校友、</w:t>
            </w:r>
            <w:r>
              <w:rPr>
                <w:rFonts w:hint="eastAsia" w:ascii="宋体" w:hAnsi="宋体"/>
                <w:szCs w:val="21"/>
              </w:rPr>
              <w:t>社会各界人士来校共商发展大计。</w:t>
            </w:r>
            <w:r>
              <w:rPr>
                <w:rFonts w:hint="eastAsia" w:ascii="宋体" w:hAnsi="宋体"/>
                <w:b/>
                <w:bCs/>
                <w:szCs w:val="21"/>
              </w:rPr>
              <w:t>四是重关怀。</w:t>
            </w:r>
            <w:r>
              <w:rPr>
                <w:rFonts w:hint="eastAsia" w:ascii="宋体" w:hAnsi="宋体"/>
                <w:szCs w:val="21"/>
              </w:rPr>
              <w:t>学校实行教职工日常管理宽严相济，人文关爱。开展校际联谊，趣味运动会，文化艺术节等丰富多彩的教师文体活动，营造和谐向上的工作氛围。学校工会等开展生日送祝福、节日送慰问、观电影、春秋游等活动保障教师应有的福利待遇。</w:t>
            </w:r>
          </w:p>
          <w:p>
            <w:pPr>
              <w:pStyle w:val="18"/>
              <w:widowControl/>
              <w:spacing w:line="360" w:lineRule="exact"/>
              <w:jc w:val="left"/>
              <w:rPr>
                <w:rFonts w:ascii="宋体" w:hAnsi="宋体"/>
                <w:szCs w:val="21"/>
              </w:rPr>
            </w:pPr>
            <w:r>
              <w:rPr>
                <w:rFonts w:hint="eastAsia" w:ascii="宋体" w:hAnsi="宋体"/>
                <w:szCs w:val="21"/>
              </w:rPr>
              <w:t>学校建设成果得到了同行关注。三年来，先后有句容三中、句容实验高中、扬州公道中学、盐城大丰南阳中学、宿迁马陵中学等来校交流四星高中创建；有镇江一中、南京临江高中、高邮二中、宝应安宜高中、南京星甸小学、车站小学等来校交流制度建设等管理经验。</w:t>
            </w:r>
          </w:p>
          <w:p>
            <w:pPr>
              <w:pStyle w:val="18"/>
              <w:widowControl/>
              <w:spacing w:line="360" w:lineRule="exact"/>
              <w:ind w:firstLine="422"/>
              <w:jc w:val="left"/>
              <w:rPr>
                <w:rFonts w:ascii="宋体" w:hAnsi="宋体"/>
                <w:b/>
                <w:bCs/>
                <w:szCs w:val="21"/>
              </w:rPr>
            </w:pPr>
            <w:r>
              <w:rPr>
                <w:rFonts w:hint="eastAsia" w:ascii="宋体" w:hAnsi="宋体"/>
                <w:b/>
                <w:bCs/>
                <w:szCs w:val="21"/>
              </w:rPr>
              <w:t>二、锤炼队伍，打造德能兼优团队。</w:t>
            </w:r>
          </w:p>
          <w:p>
            <w:pPr>
              <w:pStyle w:val="18"/>
              <w:widowControl/>
              <w:spacing w:line="360" w:lineRule="exact"/>
              <w:jc w:val="left"/>
              <w:rPr>
                <w:rFonts w:ascii="宋体" w:hAnsi="宋体"/>
                <w:szCs w:val="21"/>
              </w:rPr>
            </w:pPr>
            <w:r>
              <w:rPr>
                <w:rFonts w:hint="eastAsia" w:ascii="宋体" w:hAnsi="宋体"/>
                <w:szCs w:val="21"/>
              </w:rPr>
              <w:t>学校多措并举，精心锤炼，努力打造师德高尚、业务精良、具有团队精神和创新意识的管理队伍和师资队伍。</w:t>
            </w:r>
          </w:p>
          <w:p>
            <w:pPr>
              <w:pStyle w:val="18"/>
              <w:widowControl/>
              <w:spacing w:line="360" w:lineRule="exact"/>
              <w:ind w:firstLine="422"/>
              <w:jc w:val="left"/>
              <w:rPr>
                <w:rFonts w:ascii="宋体" w:hAnsi="宋体"/>
                <w:szCs w:val="21"/>
              </w:rPr>
            </w:pPr>
            <w:r>
              <w:rPr>
                <w:rFonts w:hint="eastAsia" w:ascii="宋体" w:hAnsi="宋体"/>
                <w:b/>
                <w:bCs/>
                <w:szCs w:val="21"/>
              </w:rPr>
              <w:t>（一）强化管理团队建设。</w:t>
            </w:r>
            <w:r>
              <w:rPr>
                <w:rFonts w:hint="eastAsia" w:ascii="宋体" w:hAnsi="宋体"/>
                <w:szCs w:val="21"/>
              </w:rPr>
              <w:t>学校着力建设一支“务实、创新、高效、和谐”的高素质干部队伍，努力通过勤培训、传压力、压担子、重考核等，锤炼行政干部的管理能力。学校现任校级领导5人，平均年龄41岁；年富力强，精力充沛，勇于担当，其中1人正在援疆。校领导办学思想端正，工作作风踏实。中层干部11人，均通过竞聘上岗，平均年龄为38岁，朝气蓬勃，敢挑重担。行政人员中获五级梯队荣誉称号7人，获区级以上先进荣誉称号的有11人。中层干部中有9人担任班主任。校级班子、中层干部每年均向全体教职工述职述廉；全体行政干部凭着过硬的政治素质、良好的业务，赢得了教职工的信赖。</w:t>
            </w:r>
          </w:p>
          <w:p>
            <w:pPr>
              <w:pStyle w:val="18"/>
              <w:widowControl/>
              <w:spacing w:line="360" w:lineRule="exact"/>
              <w:ind w:firstLine="422"/>
              <w:jc w:val="left"/>
              <w:rPr>
                <w:rFonts w:ascii="宋体" w:hAnsi="宋体"/>
                <w:szCs w:val="21"/>
              </w:rPr>
            </w:pPr>
            <w:r>
              <w:rPr>
                <w:rFonts w:hint="eastAsia" w:ascii="宋体" w:hAnsi="宋体"/>
                <w:b/>
                <w:bCs/>
                <w:szCs w:val="21"/>
              </w:rPr>
              <w:t>（二）加强师资队伍建设。</w:t>
            </w:r>
            <w:r>
              <w:rPr>
                <w:rFonts w:hint="eastAsia" w:ascii="宋体" w:hAnsi="宋体"/>
                <w:szCs w:val="21"/>
              </w:rPr>
              <w:t>教师是学校发展之本，学校努力健全教师队伍建设的工作机制，主要从三个层面来做。</w:t>
            </w:r>
          </w:p>
          <w:p>
            <w:pPr>
              <w:pStyle w:val="18"/>
              <w:widowControl/>
              <w:spacing w:line="360" w:lineRule="exact"/>
              <w:ind w:firstLine="422"/>
              <w:jc w:val="left"/>
              <w:rPr>
                <w:rFonts w:ascii="宋体" w:hAnsi="宋体"/>
                <w:szCs w:val="21"/>
              </w:rPr>
            </w:pPr>
            <w:r>
              <w:rPr>
                <w:rFonts w:hint="eastAsia" w:ascii="宋体" w:hAnsi="宋体"/>
                <w:b/>
                <w:szCs w:val="21"/>
              </w:rPr>
              <w:t>价值引领提升师德。</w:t>
            </w:r>
            <w:r>
              <w:rPr>
                <w:rFonts w:hint="eastAsia" w:ascii="宋体" w:hAnsi="宋体"/>
                <w:szCs w:val="21"/>
              </w:rPr>
              <w:t>师德师风建设是教师队伍建设的首要任务。</w:t>
            </w:r>
            <w:r>
              <w:rPr>
                <w:rFonts w:hint="eastAsia" w:ascii="宋体" w:hAnsi="宋体"/>
                <w:b/>
                <w:szCs w:val="21"/>
              </w:rPr>
              <w:t>一是学习引领。</w:t>
            </w:r>
            <w:r>
              <w:rPr>
                <w:rFonts w:hint="eastAsia" w:ascii="宋体" w:hAnsi="宋体"/>
                <w:szCs w:val="21"/>
              </w:rPr>
              <w:t>学校深入开展社会主义核心价值观，教师职业道德规范的学习，切实提高全校教职工的“四个意识”和职业精神。</w:t>
            </w:r>
            <w:r>
              <w:rPr>
                <w:rFonts w:hint="eastAsia" w:ascii="宋体" w:hAnsi="宋体"/>
                <w:b/>
                <w:szCs w:val="21"/>
              </w:rPr>
              <w:t>二是活动渗透。</w:t>
            </w:r>
            <w:r>
              <w:rPr>
                <w:rFonts w:hint="eastAsia" w:ascii="宋体" w:hAnsi="宋体"/>
                <w:szCs w:val="21"/>
              </w:rPr>
              <w:t>扎实推进“政治理论学习”“师德建设月”、“道德讲堂”等系列活动。</w:t>
            </w:r>
            <w:r>
              <w:rPr>
                <w:rFonts w:hint="eastAsia" w:ascii="宋体" w:hAnsi="宋体"/>
                <w:b/>
                <w:szCs w:val="21"/>
              </w:rPr>
              <w:t>三是制度保障。</w:t>
            </w:r>
            <w:r>
              <w:rPr>
                <w:rFonts w:hint="eastAsia" w:ascii="宋体" w:hAnsi="宋体"/>
                <w:bCs/>
                <w:szCs w:val="21"/>
              </w:rPr>
              <w:t>学校把师德考核作为教师考核、聘用和评价的首要内容，签订师德责任状，完善师德考评办法，引领教师争做“三好四有”教师。</w:t>
            </w:r>
            <w:r>
              <w:rPr>
                <w:rFonts w:hint="eastAsia" w:ascii="宋体" w:hAnsi="宋体"/>
                <w:b/>
                <w:szCs w:val="21"/>
              </w:rPr>
              <w:t>四是树立典型。</w:t>
            </w:r>
            <w:r>
              <w:rPr>
                <w:rFonts w:hint="eastAsia" w:ascii="宋体" w:hAnsi="宋体"/>
                <w:szCs w:val="21"/>
              </w:rPr>
              <w:t xml:space="preserve">定期开展“十佳师德标兵”“星星点灯教育基金奖励教师”评选活动，隆重表彰“三十年教龄教师”。 </w:t>
            </w:r>
            <w:r>
              <w:rPr>
                <w:rFonts w:hint="eastAsia" w:ascii="宋体" w:hAnsi="宋体"/>
                <w:bCs/>
                <w:szCs w:val="21"/>
              </w:rPr>
              <w:t>学校涌现出常州市师德先进个人、武进区第九批援疆干部教育组组长刘晏昌，武进区“十佳女教师”宣建英，区师德模范陈建平、武进区教育系统道德模范提名奖张敏燕等一批师德高</w:t>
            </w:r>
            <w:r>
              <w:rPr>
                <w:rFonts w:hint="eastAsia" w:ascii="宋体" w:hAnsi="宋体"/>
                <w:szCs w:val="21"/>
              </w:rPr>
              <w:t>尚的优秀教师。</w:t>
            </w:r>
          </w:p>
          <w:p>
            <w:pPr>
              <w:pStyle w:val="18"/>
              <w:widowControl/>
              <w:spacing w:line="360" w:lineRule="exact"/>
              <w:ind w:firstLine="422"/>
              <w:jc w:val="left"/>
              <w:rPr>
                <w:rFonts w:ascii="宋体" w:hAnsi="宋体"/>
                <w:bCs/>
                <w:szCs w:val="21"/>
              </w:rPr>
            </w:pPr>
            <w:r>
              <w:rPr>
                <w:rFonts w:hint="eastAsia" w:ascii="宋体" w:hAnsi="宋体"/>
                <w:b/>
                <w:szCs w:val="21"/>
              </w:rPr>
              <w:t>校本研修增强师能。</w:t>
            </w:r>
            <w:r>
              <w:rPr>
                <w:rFonts w:hint="eastAsia" w:ascii="宋体" w:hAnsi="宋体"/>
                <w:szCs w:val="21"/>
              </w:rPr>
              <w:t>学校以建设学习型校园、学习型团队为载体，进一步健全引领教师主动发展的校本研修机制。</w:t>
            </w:r>
            <w:r>
              <w:rPr>
                <w:rFonts w:hint="eastAsia" w:ascii="宋体" w:hAnsi="宋体"/>
                <w:b/>
                <w:szCs w:val="21"/>
              </w:rPr>
              <w:t>一是引导自我规划。</w:t>
            </w:r>
            <w:r>
              <w:rPr>
                <w:rFonts w:hint="eastAsia" w:ascii="宋体" w:hAnsi="宋体"/>
                <w:szCs w:val="21"/>
              </w:rPr>
              <w:t>教师根据自身实际，制定个人三年发展规划。自我规划实施至今已有两轮，培养了教师进取精神。</w:t>
            </w:r>
            <w:r>
              <w:rPr>
                <w:rFonts w:hint="eastAsia" w:ascii="宋体" w:hAnsi="宋体"/>
                <w:b/>
                <w:szCs w:val="21"/>
              </w:rPr>
              <w:t>二是丰富校内研修。</w:t>
            </w:r>
            <w:r>
              <w:rPr>
                <w:rFonts w:hint="eastAsia" w:ascii="宋体" w:hAnsi="宋体"/>
                <w:szCs w:val="21"/>
              </w:rPr>
              <w:t>学校统筹安排校级培训、教研组研修、扎实开展“教师论坛”“青年教师评优课”“教师基本功竞赛”“微讲座”等多种形式的校本研修活动。</w:t>
            </w:r>
            <w:r>
              <w:rPr>
                <w:rFonts w:hint="eastAsia" w:ascii="宋体" w:hAnsi="宋体"/>
                <w:b/>
                <w:szCs w:val="21"/>
              </w:rPr>
              <w:t>三是加强校外研修。</w:t>
            </w:r>
            <w:r>
              <w:rPr>
                <w:rFonts w:hint="eastAsia" w:ascii="宋体" w:hAnsi="宋体"/>
                <w:szCs w:val="21"/>
              </w:rPr>
              <w:t>先后多次组织行政团队，班主任、毕业班教师、教研组长备课组长、青年骨干教师等到镇江一中，省奔中、兴化中学、句容三中、溧阳南渡高中等考察学习。组织骨干教师同横林高中、礼嘉中学等学校的优秀教师共同进行“同题异构”教研活动，提增教师业务。</w:t>
            </w:r>
            <w:r>
              <w:rPr>
                <w:rFonts w:hint="eastAsia" w:ascii="宋体" w:hAnsi="宋体"/>
                <w:b/>
                <w:szCs w:val="21"/>
              </w:rPr>
              <w:t>四是搭建高端平台。</w:t>
            </w:r>
            <w:r>
              <w:rPr>
                <w:rFonts w:hint="eastAsia" w:ascii="宋体" w:hAnsi="宋体"/>
                <w:szCs w:val="21"/>
              </w:rPr>
              <w:t>多次邀请省语文教研员朱芒芒、南师大教授汪少华、省特级教师徐惠仁等专家来校进行讲学。同时完善制度支持教师进行研究生学历进修，争取平台鼓励教师参加国家级、省级课堂教学大赛和基本功竞赛等。</w:t>
            </w:r>
            <w:r>
              <w:rPr>
                <w:rFonts w:hint="eastAsia" w:ascii="宋体" w:hAnsi="宋体"/>
                <w:b/>
                <w:szCs w:val="21"/>
              </w:rPr>
              <w:t>五是重视科研引领。</w:t>
            </w:r>
            <w:r>
              <w:rPr>
                <w:rFonts w:hint="eastAsia" w:ascii="宋体" w:hAnsi="宋体"/>
                <w:szCs w:val="21"/>
              </w:rPr>
              <w:t>完善教科教研工作制度和奖励办法。教师从微型课题做起，百分百参与课题研究。教科教研过程与实绩纳入师能考评系列。</w:t>
            </w:r>
            <w:r>
              <w:rPr>
                <w:rFonts w:hint="eastAsia" w:ascii="宋体" w:hAnsi="宋体"/>
                <w:bCs/>
                <w:szCs w:val="21"/>
              </w:rPr>
              <w:t>目前，学校的三个省级、八个市区级课题正在深入开展研究之中。</w:t>
            </w:r>
          </w:p>
          <w:p>
            <w:pPr>
              <w:pStyle w:val="18"/>
              <w:widowControl/>
              <w:spacing w:line="360" w:lineRule="exact"/>
              <w:ind w:firstLine="422"/>
              <w:jc w:val="left"/>
              <w:rPr>
                <w:rFonts w:ascii="宋体" w:hAnsi="宋体"/>
                <w:szCs w:val="21"/>
              </w:rPr>
            </w:pPr>
            <w:r>
              <w:rPr>
                <w:rFonts w:hint="eastAsia" w:ascii="宋体" w:hAnsi="宋体"/>
                <w:b/>
                <w:szCs w:val="21"/>
              </w:rPr>
              <w:t>名师工程积极推进。</w:t>
            </w:r>
            <w:r>
              <w:rPr>
                <w:rFonts w:hint="eastAsia" w:ascii="宋体" w:hAnsi="宋体"/>
                <w:szCs w:val="21"/>
              </w:rPr>
              <w:t>学校切实加强骨干教师、名优教师的培养。</w:t>
            </w:r>
            <w:r>
              <w:rPr>
                <w:rFonts w:hint="eastAsia" w:ascii="宋体" w:hAnsi="宋体"/>
                <w:b/>
                <w:szCs w:val="21"/>
              </w:rPr>
              <w:t>一是培养有对象。</w:t>
            </w:r>
            <w:r>
              <w:rPr>
                <w:rFonts w:hint="eastAsia" w:ascii="宋体" w:hAnsi="宋体"/>
                <w:szCs w:val="21"/>
              </w:rPr>
              <w:t>青年教师是学校发展中坚。近年来，一批工作肯吃苦，业务肯钻研，教学有实绩的青年骨干教师脱颖而出，成为学校名师培养对象。</w:t>
            </w:r>
            <w:r>
              <w:rPr>
                <w:rFonts w:hint="eastAsia" w:ascii="宋体" w:hAnsi="宋体"/>
                <w:b/>
                <w:szCs w:val="21"/>
              </w:rPr>
              <w:t>二是制度有保障。</w:t>
            </w:r>
            <w:r>
              <w:rPr>
                <w:rFonts w:hint="eastAsia" w:ascii="宋体" w:hAnsi="宋体"/>
                <w:szCs w:val="21"/>
              </w:rPr>
              <w:t>学校进一步健全“骨干教师和学科带头人考核奖励办法”，激励广大教师主动发展，建功立业。</w:t>
            </w:r>
            <w:r>
              <w:rPr>
                <w:rFonts w:hint="eastAsia" w:ascii="宋体" w:hAnsi="宋体"/>
                <w:b/>
                <w:szCs w:val="21"/>
              </w:rPr>
              <w:t>二是锻炼有平台。</w:t>
            </w:r>
            <w:r>
              <w:rPr>
                <w:rFonts w:hint="eastAsia" w:ascii="宋体" w:hAnsi="宋体"/>
                <w:szCs w:val="21"/>
              </w:rPr>
              <w:t>学校通过青蓝工程师徒结对充分发挥学校现有骨干教师、名优教师在培养青年教师中的专业引领作用；鼓励青年骨干教师加入市区级名校长、名教师工作室，接受系统培养。同时通过推荐参加国内外高级研修等，为培养对象提供专业引领和技术指导。</w:t>
            </w:r>
          </w:p>
          <w:p>
            <w:pPr>
              <w:pStyle w:val="18"/>
              <w:widowControl/>
              <w:spacing w:line="360" w:lineRule="exact"/>
              <w:jc w:val="left"/>
              <w:rPr>
                <w:rFonts w:ascii="宋体" w:hAnsi="宋体"/>
                <w:color w:val="000000"/>
                <w:szCs w:val="21"/>
              </w:rPr>
            </w:pPr>
            <w:r>
              <w:rPr>
                <w:rFonts w:hint="eastAsia" w:ascii="宋体" w:hAnsi="宋体"/>
                <w:color w:val="000000"/>
                <w:szCs w:val="21"/>
              </w:rPr>
              <w:t>目前，35岁左右的一批青年教师已经成为学校管理、班主任工作和教育教研工作的骨干和中坚力量。近三年，有37人次的青年教师在区级以上教学基本功和评优课竞赛中获奖。近三年，有8名青年教师进入市区级五级梯队序列，其中有常州市特级教师后备人才一名。教师获奖、发表论文有140多篇。</w:t>
            </w:r>
          </w:p>
          <w:p>
            <w:pPr>
              <w:pStyle w:val="18"/>
              <w:widowControl/>
              <w:spacing w:line="360" w:lineRule="exact"/>
              <w:ind w:firstLine="422"/>
              <w:jc w:val="left"/>
              <w:rPr>
                <w:rFonts w:ascii="宋体" w:hAnsi="宋体"/>
                <w:b/>
                <w:color w:val="000000"/>
                <w:szCs w:val="21"/>
              </w:rPr>
            </w:pPr>
            <w:r>
              <w:rPr>
                <w:rFonts w:hint="eastAsia" w:ascii="宋体" w:hAnsi="宋体"/>
                <w:b/>
                <w:color w:val="000000"/>
                <w:szCs w:val="21"/>
              </w:rPr>
              <w:t>三、激扬生命，提高德育工作实效。</w:t>
            </w:r>
          </w:p>
          <w:p>
            <w:pPr>
              <w:pStyle w:val="18"/>
              <w:widowControl/>
              <w:spacing w:line="360" w:lineRule="exact"/>
              <w:jc w:val="left"/>
              <w:rPr>
                <w:rFonts w:ascii="宋体" w:hAnsi="宋体"/>
                <w:color w:val="000000"/>
                <w:szCs w:val="21"/>
              </w:rPr>
            </w:pPr>
            <w:r>
              <w:rPr>
                <w:rFonts w:hint="eastAsia" w:ascii="宋体" w:hAnsi="宋体"/>
                <w:color w:val="000000"/>
                <w:szCs w:val="21"/>
              </w:rPr>
              <w:t>学校坚持生命教育建设工程，着力推进德育工作落地生根，走进学生心灵，重点抓了三个方面。</w:t>
            </w:r>
          </w:p>
          <w:p>
            <w:pPr>
              <w:pStyle w:val="18"/>
              <w:widowControl/>
              <w:spacing w:line="360" w:lineRule="exact"/>
              <w:ind w:firstLine="422"/>
              <w:jc w:val="left"/>
              <w:rPr>
                <w:rFonts w:ascii="宋体" w:hAnsi="宋体"/>
                <w:color w:val="000000"/>
                <w:szCs w:val="21"/>
              </w:rPr>
            </w:pPr>
            <w:r>
              <w:rPr>
                <w:rFonts w:hint="eastAsia" w:ascii="宋体" w:hAnsi="宋体"/>
                <w:b/>
                <w:color w:val="000000"/>
                <w:szCs w:val="21"/>
              </w:rPr>
              <w:t>（一）健全德育工作机制。</w:t>
            </w:r>
            <w:r>
              <w:rPr>
                <w:rFonts w:hint="eastAsia" w:ascii="宋体" w:hAnsi="宋体"/>
                <w:color w:val="000000"/>
                <w:szCs w:val="21"/>
              </w:rPr>
              <w:t>根据“全面育人、全程育人、全方位育人”的目标，将核心价值观教育与学校的常规德育内容高度整合，注重养成教育。逐步完善了学校教育、家庭教育、社会教育和学生自我教育有机结合的德育工作网络，健全了学生自主管理为重点的德育工作机制。</w:t>
            </w:r>
          </w:p>
          <w:p>
            <w:pPr>
              <w:adjustRightInd w:val="0"/>
              <w:snapToGrid w:val="0"/>
              <w:spacing w:line="360" w:lineRule="exact"/>
              <w:ind w:firstLine="422" w:firstLineChars="200"/>
              <w:rPr>
                <w:rFonts w:ascii="宋体" w:hAnsi="宋体"/>
                <w:color w:val="000000"/>
                <w:szCs w:val="21"/>
              </w:rPr>
            </w:pPr>
            <w:r>
              <w:rPr>
                <w:rFonts w:hint="eastAsia" w:ascii="宋体" w:hAnsi="宋体"/>
                <w:b/>
                <w:color w:val="000000"/>
                <w:szCs w:val="21"/>
              </w:rPr>
              <w:t>（二）突出德育工作重点。</w:t>
            </w:r>
            <w:r>
              <w:rPr>
                <w:rFonts w:hint="eastAsia" w:ascii="宋体" w:hAnsi="宋体"/>
                <w:color w:val="000000"/>
                <w:szCs w:val="21"/>
              </w:rPr>
              <w:t>学校精心构建四大平台，提升德育实效。</w:t>
            </w:r>
            <w:r>
              <w:rPr>
                <w:rFonts w:hint="eastAsia" w:ascii="宋体" w:hAnsi="宋体"/>
                <w:b/>
                <w:color w:val="000000"/>
                <w:szCs w:val="21"/>
              </w:rPr>
              <w:t>一是以党团组织为平台，建设监督管理主阵地。</w:t>
            </w:r>
            <w:r>
              <w:rPr>
                <w:rFonts w:hint="eastAsia" w:ascii="宋体" w:hAnsi="宋体"/>
                <w:color w:val="000000"/>
                <w:szCs w:val="21"/>
              </w:rPr>
              <w:t>坚持发挥党组织在德育活动中的领导权，管理权和监督权。重视共青团建设，加强团组织对学生先进思想的引领，突破德育难点，扩大工作影响。学校团委在2014、2016年度两次荣获武进区“先进团委”称号。</w:t>
            </w:r>
            <w:r>
              <w:rPr>
                <w:rFonts w:hint="eastAsia" w:ascii="宋体" w:hAnsi="宋体"/>
                <w:b/>
                <w:color w:val="000000"/>
                <w:szCs w:val="21"/>
              </w:rPr>
              <w:t>二是以课程教学为平台，强化课堂教学主渠道。</w:t>
            </w:r>
            <w:r>
              <w:rPr>
                <w:rFonts w:hint="eastAsia" w:ascii="宋体" w:hAnsi="宋体"/>
                <w:color w:val="000000"/>
                <w:szCs w:val="21"/>
              </w:rPr>
              <w:t>坚持把德育渗透到每一个课堂、每一个环节。积极开发实施《礼仪与生活》《生命成长之人生规划》等德育校本课程。</w:t>
            </w:r>
            <w:r>
              <w:rPr>
                <w:rFonts w:hint="eastAsia" w:ascii="宋体" w:hAnsi="宋体"/>
                <w:b/>
                <w:color w:val="000000"/>
                <w:szCs w:val="21"/>
              </w:rPr>
              <w:t>三是以主题活动为平台，突出生命教育主项目。</w:t>
            </w:r>
            <w:r>
              <w:rPr>
                <w:rFonts w:hint="eastAsia" w:ascii="宋体" w:hAnsi="宋体"/>
                <w:color w:val="000000"/>
                <w:szCs w:val="21"/>
              </w:rPr>
              <w:t>以热爱生命、珍爱生命、完善生命、发展生命为重点，与弘扬“行”文化相结合，坚持按照一年一个阶段，一月一个主题的德育工作思路，全面整合学校德育主题活动。</w:t>
            </w:r>
            <w:r>
              <w:rPr>
                <w:rFonts w:hint="eastAsia" w:ascii="宋体" w:hAnsi="宋体"/>
                <w:b/>
                <w:bCs/>
                <w:color w:val="000000"/>
                <w:szCs w:val="21"/>
              </w:rPr>
              <w:t>四</w:t>
            </w:r>
            <w:r>
              <w:rPr>
                <w:rFonts w:hint="eastAsia" w:ascii="宋体" w:hAnsi="宋体"/>
                <w:b/>
                <w:color w:val="000000"/>
                <w:szCs w:val="21"/>
              </w:rPr>
              <w:t>是以校外实践为平台，实现社会教育主旋律。</w:t>
            </w:r>
            <w:r>
              <w:rPr>
                <w:rFonts w:hint="eastAsia" w:ascii="宋体" w:hAnsi="宋体"/>
                <w:color w:val="000000"/>
                <w:szCs w:val="21"/>
              </w:rPr>
              <w:t>引导学生积极参加社团活动，社会实践、公民教育、公益活动、青年志愿者等活动，让学生走出校园，走向社区，走向社会，让他们在实践中体验，在体验中感悟，在感悟中自我发展，在发展中追求人格的自我完善。</w:t>
            </w:r>
          </w:p>
          <w:p>
            <w:pPr>
              <w:pStyle w:val="18"/>
              <w:widowControl/>
              <w:spacing w:line="360" w:lineRule="exact"/>
              <w:ind w:firstLine="422"/>
              <w:jc w:val="left"/>
              <w:rPr>
                <w:rFonts w:ascii="宋体" w:hAnsi="宋体"/>
                <w:color w:val="000000"/>
                <w:szCs w:val="21"/>
              </w:rPr>
            </w:pPr>
            <w:r>
              <w:rPr>
                <w:rFonts w:hint="eastAsia" w:ascii="宋体" w:hAnsi="宋体"/>
                <w:b/>
                <w:color w:val="000000"/>
                <w:szCs w:val="21"/>
              </w:rPr>
              <w:t>（三）打造德育管理队伍。</w:t>
            </w:r>
            <w:r>
              <w:rPr>
                <w:rFonts w:hint="eastAsia" w:ascii="宋体" w:hAnsi="宋体"/>
                <w:color w:val="000000"/>
                <w:szCs w:val="21"/>
              </w:rPr>
              <w:t>学校重点培养一支师德高、业务精、观念新的创新型德育工作队伍,特别是强化班主任团队建设。坚持叙事研究，改变班级管理方式，逐渐形成一支中层干部带头，青年教师为主的优秀班主任队伍。同时切实加强学生心理问题的疏导和干预，积极发挥心理咨询兼职教师、学生心理健康联络员和心理咨询室作用，主动引导学生健康成长。</w:t>
            </w:r>
          </w:p>
          <w:p>
            <w:pPr>
              <w:pStyle w:val="18"/>
              <w:widowControl/>
              <w:spacing w:line="360" w:lineRule="exact"/>
              <w:jc w:val="left"/>
              <w:rPr>
                <w:rFonts w:ascii="宋体" w:hAnsi="宋体"/>
                <w:color w:val="000000"/>
                <w:szCs w:val="21"/>
              </w:rPr>
            </w:pPr>
            <w:r>
              <w:rPr>
                <w:rFonts w:hint="eastAsia" w:ascii="宋体" w:hAnsi="宋体"/>
                <w:color w:val="000000"/>
                <w:szCs w:val="21"/>
              </w:rPr>
              <w:t>三年来，学校持续开展踏歌毅行励志远足，十八岁成人仪式等活动，并逐渐形成为德育精品活动。学校坚持每年举办校园文化艺术节，至今已经23届。学校的读书节和体育运动节等活动，学生参与面广，热情高。这些活动深受学生喜爱，也让学生终身难忘。学生也在社团、科技、文学、艺术、体育等各类素质教育成果展示活动中屡屡获奖，获奖层次和档次也越来越高。</w:t>
            </w:r>
          </w:p>
          <w:p>
            <w:pPr>
              <w:pStyle w:val="18"/>
              <w:widowControl/>
              <w:spacing w:line="360" w:lineRule="exact"/>
              <w:ind w:firstLine="422"/>
              <w:jc w:val="left"/>
              <w:rPr>
                <w:rFonts w:ascii="宋体" w:hAnsi="宋体"/>
                <w:b/>
                <w:bCs/>
                <w:szCs w:val="21"/>
              </w:rPr>
            </w:pPr>
            <w:r>
              <w:rPr>
                <w:rFonts w:hint="eastAsia" w:ascii="宋体" w:hAnsi="宋体"/>
                <w:b/>
                <w:bCs/>
                <w:szCs w:val="21"/>
              </w:rPr>
              <w:t>四、深化课改，提升生本课堂品质。</w:t>
            </w:r>
          </w:p>
          <w:p>
            <w:pPr>
              <w:pStyle w:val="18"/>
              <w:widowControl/>
              <w:spacing w:line="360" w:lineRule="exact"/>
              <w:jc w:val="left"/>
              <w:rPr>
                <w:rFonts w:ascii="宋体" w:hAnsi="宋体"/>
                <w:szCs w:val="21"/>
              </w:rPr>
            </w:pPr>
            <w:r>
              <w:rPr>
                <w:rFonts w:hint="eastAsia" w:ascii="宋体" w:hAnsi="宋体"/>
                <w:szCs w:val="21"/>
              </w:rPr>
              <w:t>学校始终以课程建设为核心，课堂教学变革为重点，创新师生评价为关键，将现代学校制度建设和现代教育技术运用贯穿于始终，充分发挥课程、环境和装备三位一体的育人合力，促进学校品质提升。基于生源总体相对落后的现实，学校坚持以“生本课堂”为课改抓手，促进教学质量再创新水平，再有新跨越。</w:t>
            </w:r>
          </w:p>
          <w:p>
            <w:pPr>
              <w:pStyle w:val="18"/>
              <w:widowControl/>
              <w:spacing w:line="360" w:lineRule="exact"/>
              <w:ind w:firstLine="422"/>
              <w:jc w:val="left"/>
              <w:rPr>
                <w:rFonts w:ascii="宋体" w:hAnsi="宋体"/>
                <w:color w:val="000000"/>
                <w:szCs w:val="21"/>
              </w:rPr>
            </w:pPr>
            <w:r>
              <w:rPr>
                <w:rFonts w:hint="eastAsia" w:ascii="宋体" w:hAnsi="宋体"/>
                <w:b/>
                <w:color w:val="000000"/>
                <w:szCs w:val="21"/>
              </w:rPr>
              <w:t>（一）完善课程体系。</w:t>
            </w:r>
            <w:r>
              <w:rPr>
                <w:rFonts w:hint="eastAsia" w:ascii="宋体" w:hAnsi="宋体"/>
                <w:color w:val="000000"/>
                <w:szCs w:val="21"/>
              </w:rPr>
              <w:t>学校基于“行”文化和艺术教育特色，着力构建适切本校实际、具有本校特色的校本课程体系。</w:t>
            </w:r>
            <w:r>
              <w:rPr>
                <w:rFonts w:hint="eastAsia" w:ascii="宋体" w:hAnsi="宋体"/>
                <w:b/>
                <w:color w:val="000000"/>
                <w:szCs w:val="21"/>
              </w:rPr>
              <w:t>一是提高国家课程校本实施水平。</w:t>
            </w:r>
            <w:r>
              <w:rPr>
                <w:rFonts w:hint="eastAsia" w:ascii="宋体" w:hAnsi="宋体"/>
                <w:color w:val="000000"/>
                <w:szCs w:val="21"/>
              </w:rPr>
              <w:t>严格执行国家课程计划，认真落实通用技术、研究性学习等国家课程，并对国家课程的内容进行适度调整，使之更加适合本校学生的认知基础。</w:t>
            </w:r>
            <w:r>
              <w:rPr>
                <w:rFonts w:hint="eastAsia" w:ascii="宋体" w:hAnsi="宋体"/>
                <w:b/>
                <w:color w:val="000000"/>
                <w:szCs w:val="21"/>
              </w:rPr>
              <w:t>二是构建多元特色校本课程体系。</w:t>
            </w:r>
            <w:r>
              <w:rPr>
                <w:rFonts w:hint="eastAsia" w:ascii="宋体" w:hAnsi="宋体"/>
                <w:color w:val="000000"/>
                <w:szCs w:val="21"/>
              </w:rPr>
              <w:t>学校系统规划、精心设计，开发了“生命教育”“艺术教育”和“科技教育”三大系列具有地域特征、乡土特色和时代气息的校本课程，涵盖健康、人文、语言、科技、艺术等五大学习领域，包括必修、选修和社团等三种课程形态。开发了《艺术与人生》等3门校本必修课程，开发了《动漫文化》《生活中的化学》等近50门校本选修课程。学校组建了“素写淡然”、“水墨之旅”等十多个学生社团，发展学生技艺特长和学科专长。</w:t>
            </w:r>
            <w:r>
              <w:rPr>
                <w:rFonts w:hint="eastAsia" w:ascii="宋体" w:hAnsi="宋体"/>
                <w:b/>
                <w:color w:val="000000"/>
                <w:szCs w:val="21"/>
              </w:rPr>
              <w:t>三是积极启动日语国际教育项目。</w:t>
            </w:r>
            <w:r>
              <w:rPr>
                <w:rFonts w:hint="eastAsia" w:ascii="宋体" w:hAnsi="宋体"/>
                <w:color w:val="000000"/>
                <w:szCs w:val="21"/>
              </w:rPr>
              <w:t>学校与江苏卓越日语专修学院成功合作5年，为学生走出国门错位发展，进入日本一流大学深造学习创造了良好条件。目前已有80多名学生顺利出国深造。</w:t>
            </w:r>
          </w:p>
          <w:p>
            <w:pPr>
              <w:spacing w:line="360" w:lineRule="exact"/>
              <w:ind w:firstLine="422" w:firstLineChars="200"/>
              <w:rPr>
                <w:rFonts w:ascii="宋体" w:hAnsi="宋体"/>
                <w:color w:val="000000"/>
                <w:szCs w:val="21"/>
              </w:rPr>
            </w:pPr>
            <w:r>
              <w:rPr>
                <w:rFonts w:hint="eastAsia" w:ascii="宋体" w:hAnsi="宋体"/>
                <w:b/>
                <w:color w:val="000000"/>
                <w:szCs w:val="21"/>
              </w:rPr>
              <w:t>（二）构建新型课堂。</w:t>
            </w:r>
            <w:r>
              <w:rPr>
                <w:rFonts w:hint="eastAsia" w:ascii="宋体" w:hAnsi="宋体"/>
                <w:color w:val="000000"/>
                <w:szCs w:val="21"/>
              </w:rPr>
              <w:t>基于生源总体相对落后的现实，广大教师不抱怨，不气馁，坚持课改一定要“改课”的认识，积极探索以打造“激扬生命，以人为本”为特征的“生本课堂”教学改革。经过多年的实践探索，“先学后教，以学定教，少教多学，师生互动”的要求被越来越多的老师认同，</w:t>
            </w:r>
            <w:r>
              <w:rPr>
                <w:rFonts w:hint="eastAsia" w:ascii="宋体" w:hAnsi="宋体"/>
                <w:szCs w:val="21"/>
              </w:rPr>
              <w:t>基于互联网+的先进教学理念和技术在课堂和教研中得到广泛的运用，</w:t>
            </w:r>
            <w:r>
              <w:rPr>
                <w:rFonts w:hint="eastAsia" w:ascii="宋体" w:hAnsi="宋体"/>
                <w:color w:val="000000"/>
                <w:szCs w:val="21"/>
              </w:rPr>
              <w:t>具有校本化的生本课堂教学模式，管理和评价制度正逐步形成，广大学生的自主学习意识、习惯、能力得到较好提升。</w:t>
            </w:r>
          </w:p>
          <w:p>
            <w:pPr>
              <w:spacing w:line="360" w:lineRule="exact"/>
              <w:ind w:firstLine="422" w:firstLineChars="200"/>
              <w:rPr>
                <w:rFonts w:ascii="宋体" w:hAnsi="宋体"/>
                <w:color w:val="000000"/>
                <w:szCs w:val="21"/>
              </w:rPr>
            </w:pPr>
            <w:r>
              <w:rPr>
                <w:rFonts w:hint="eastAsia" w:ascii="宋体" w:hAnsi="宋体"/>
                <w:b/>
                <w:color w:val="000000"/>
                <w:szCs w:val="21"/>
              </w:rPr>
              <w:t>（三）优化评价体系。</w:t>
            </w:r>
            <w:r>
              <w:rPr>
                <w:rFonts w:hint="eastAsia" w:ascii="宋体" w:hAnsi="宋体"/>
                <w:color w:val="000000"/>
                <w:szCs w:val="21"/>
              </w:rPr>
              <w:t>学校不断完善教学评价体系，初步形成了适合素质教育要求、促进师生发展的主体与形式多元、结果与过程兼顾、定性与定量结合的立体评价体系。</w:t>
            </w:r>
          </w:p>
          <w:p>
            <w:pPr>
              <w:spacing w:line="360" w:lineRule="exact"/>
              <w:ind w:firstLine="520" w:firstLineChars="248"/>
              <w:rPr>
                <w:rFonts w:ascii="宋体" w:hAnsi="宋体"/>
                <w:color w:val="000000"/>
                <w:szCs w:val="21"/>
              </w:rPr>
            </w:pPr>
            <w:r>
              <w:rPr>
                <w:rFonts w:hint="eastAsia" w:ascii="宋体" w:hAnsi="宋体"/>
                <w:color w:val="000000"/>
                <w:szCs w:val="21"/>
              </w:rPr>
              <w:t>课改促教学质量的提升是显著的。创四星之前，洛阳高中创造的“低进高出”办学业绩声名在外。创四星之后，学校仍然以三星级高中的生源，办出了四星级高中应有的教学成绩。三年来，学校高考本科达线率实现年均递增10个百分点的高位发展，实现了</w:t>
            </w:r>
            <w:r>
              <w:rPr>
                <w:rFonts w:hint="eastAsia" w:ascii="宋体" w:hAnsi="宋体"/>
                <w:szCs w:val="21"/>
              </w:rPr>
              <w:t>一年一大步，三年大跨越。</w:t>
            </w:r>
          </w:p>
          <w:p>
            <w:pPr>
              <w:pStyle w:val="18"/>
              <w:widowControl/>
              <w:spacing w:line="360" w:lineRule="exact"/>
              <w:ind w:firstLine="422"/>
              <w:jc w:val="left"/>
              <w:rPr>
                <w:rFonts w:ascii="宋体" w:hAnsi="宋体"/>
                <w:b/>
                <w:bCs/>
                <w:szCs w:val="21"/>
              </w:rPr>
            </w:pPr>
            <w:r>
              <w:rPr>
                <w:rFonts w:hint="eastAsia" w:ascii="宋体" w:hAnsi="宋体"/>
                <w:b/>
                <w:bCs/>
                <w:szCs w:val="21"/>
              </w:rPr>
              <w:t>五、立足特色，扬名艺术教育品牌。</w:t>
            </w:r>
          </w:p>
          <w:p>
            <w:pPr>
              <w:pStyle w:val="18"/>
              <w:widowControl/>
              <w:spacing w:line="360" w:lineRule="exact"/>
              <w:jc w:val="left"/>
              <w:rPr>
                <w:rFonts w:ascii="宋体" w:hAnsi="宋体"/>
                <w:szCs w:val="21"/>
              </w:rPr>
            </w:pPr>
            <w:r>
              <w:rPr>
                <w:rFonts w:hint="eastAsia" w:ascii="宋体" w:hAnsi="宋体"/>
                <w:szCs w:val="21"/>
              </w:rPr>
              <w:t>学校于1997年率先在武进区开办艺术教育特色班，至今已经有20周年。作为武进高中学校唯一的江苏省艺术教育特色学校，学校坚持“多元发展，特色强校”的发展战略。学校鲜明的“艺术教育”办学特色已经形成，体现在四个方面。</w:t>
            </w:r>
          </w:p>
          <w:p>
            <w:pPr>
              <w:pStyle w:val="18"/>
              <w:widowControl/>
              <w:spacing w:line="360" w:lineRule="exact"/>
              <w:ind w:firstLine="422"/>
              <w:jc w:val="left"/>
              <w:rPr>
                <w:rFonts w:ascii="宋体" w:hAnsi="宋体"/>
                <w:szCs w:val="21"/>
              </w:rPr>
            </w:pPr>
            <w:r>
              <w:rPr>
                <w:rFonts w:hint="eastAsia" w:ascii="宋体" w:hAnsi="宋体"/>
                <w:b/>
                <w:szCs w:val="21"/>
              </w:rPr>
              <w:t>（一）艺术师资高水平。</w:t>
            </w:r>
            <w:r>
              <w:rPr>
                <w:rFonts w:hint="eastAsia" w:ascii="宋体" w:hAnsi="宋体"/>
                <w:szCs w:val="21"/>
              </w:rPr>
              <w:t>学校现有艺术专职教师12人，他们业务功底扎实，教学水平较高，同时又富有朝气蓬勃向上。武进区骨干教师吴燕老师获省级课件比赛特等奖，部级优课荣誉。武进区十佳园丁歌手谈菁老师成功在武进凤凰谷大剧院举办个人独唱音乐会。多位教师获得省市区级基本功竞赛奖项。学校还聘请了艺术专家、高校教授担任学校客座教授，聘请多名常武地区一线艺术专业教师，担任学校专业引领教师，定期邀请他们来校专题讲学，教学示范。</w:t>
            </w:r>
          </w:p>
          <w:p>
            <w:pPr>
              <w:spacing w:line="360" w:lineRule="exact"/>
              <w:ind w:firstLine="422" w:firstLineChars="200"/>
              <w:rPr>
                <w:rFonts w:ascii="宋体" w:hAnsi="宋体"/>
                <w:color w:val="000000"/>
                <w:szCs w:val="21"/>
              </w:rPr>
            </w:pPr>
            <w:r>
              <w:rPr>
                <w:rFonts w:hint="eastAsia" w:ascii="宋体" w:hAnsi="宋体"/>
                <w:b/>
                <w:szCs w:val="21"/>
              </w:rPr>
              <w:t>（二）艺术课程系统化。</w:t>
            </w:r>
            <w:r>
              <w:rPr>
                <w:rFonts w:hint="eastAsia" w:ascii="宋体" w:hAnsi="宋体"/>
                <w:szCs w:val="21"/>
              </w:rPr>
              <w:t>学校在艺术教育“润泽生命、健全人格”价值引领下积极探索普及与提高的培养模式、建构与实施校本化艺术教育课程体系。学校开齐开足各类艺术课程；较早开发和开设了《中外名曲欣赏》等10多门艺术校本课程。</w:t>
            </w:r>
            <w:r>
              <w:rPr>
                <w:rFonts w:hint="eastAsia" w:ascii="宋体" w:hAnsi="宋体"/>
                <w:color w:val="000000"/>
                <w:szCs w:val="21"/>
              </w:rPr>
              <w:t>其中《艺术与人生》《卡通的欣赏与制作》被评为省、市级优秀校本教材。</w:t>
            </w:r>
          </w:p>
          <w:p>
            <w:pPr>
              <w:spacing w:line="360" w:lineRule="exact"/>
              <w:ind w:firstLine="422" w:firstLineChars="200"/>
              <w:rPr>
                <w:rFonts w:ascii="宋体" w:hAnsi="宋体"/>
                <w:szCs w:val="21"/>
              </w:rPr>
            </w:pPr>
            <w:r>
              <w:rPr>
                <w:rFonts w:hint="eastAsia" w:ascii="宋体" w:hAnsi="宋体"/>
                <w:b/>
                <w:szCs w:val="21"/>
              </w:rPr>
              <w:t>（三）艺术科研有实力。</w:t>
            </w:r>
            <w:r>
              <w:rPr>
                <w:rFonts w:hint="eastAsia" w:ascii="宋体" w:hAnsi="宋体"/>
                <w:szCs w:val="21"/>
              </w:rPr>
              <w:t>以国家艺术教育实验基地为抓手开展各级各类艺术科研课题的研究。目前，艺术类省级规划课题、市级备案课题相关研究有序推进。课题组定期开展专家讲座、课堂研究、专题研讨，立足校内，引领全区。扬州大学张美林教授创办的</w:t>
            </w:r>
            <w:r>
              <w:rPr>
                <w:rFonts w:ascii="宋体" w:hAnsi="宋体"/>
                <w:szCs w:val="21"/>
              </w:rPr>
              <w:t>国内首家声乐慕课“美声之林”</w:t>
            </w:r>
            <w:r>
              <w:rPr>
                <w:rFonts w:hint="eastAsia" w:ascii="宋体" w:hAnsi="宋体"/>
                <w:szCs w:val="21"/>
              </w:rPr>
              <w:t>也</w:t>
            </w:r>
            <w:r>
              <w:rPr>
                <w:rFonts w:ascii="宋体" w:hAnsi="宋体"/>
                <w:szCs w:val="21"/>
              </w:rPr>
              <w:t>走进洛阳高中</w:t>
            </w:r>
            <w:r>
              <w:rPr>
                <w:rFonts w:hint="eastAsia" w:ascii="宋体" w:hAnsi="宋体"/>
                <w:szCs w:val="21"/>
              </w:rPr>
              <w:t>，引领武进音乐艺术科研。</w:t>
            </w:r>
          </w:p>
          <w:p>
            <w:pPr>
              <w:pStyle w:val="18"/>
              <w:widowControl/>
              <w:spacing w:line="360" w:lineRule="exact"/>
              <w:ind w:firstLine="422"/>
              <w:jc w:val="left"/>
              <w:rPr>
                <w:rFonts w:ascii="宋体" w:hAnsi="宋体"/>
                <w:szCs w:val="21"/>
              </w:rPr>
            </w:pPr>
            <w:r>
              <w:rPr>
                <w:rFonts w:hint="eastAsia" w:ascii="宋体" w:hAnsi="宋体"/>
                <w:b/>
                <w:szCs w:val="21"/>
              </w:rPr>
              <w:t>（四）区内辐射显效应。</w:t>
            </w:r>
            <w:r>
              <w:rPr>
                <w:rFonts w:hint="eastAsia" w:ascii="宋体" w:hAnsi="宋体"/>
                <w:szCs w:val="21"/>
              </w:rPr>
              <w:t>学校积极为本区域中小学提供艺术教育课程资源和活动基地，与横林初中、洛阳初中合作开办音美特长生班，传媒特长生班。2000年之后，武进区艺术类教师50%以上是学校毕业生。2016年5月，《武进日报》以《洛阳高中：梦想在这里起航》为题，对学校艺术特色教育进行了专版报道。</w:t>
            </w:r>
          </w:p>
          <w:p>
            <w:pPr>
              <w:spacing w:line="360" w:lineRule="exact"/>
              <w:ind w:firstLine="420" w:firstLineChars="200"/>
              <w:rPr>
                <w:rFonts w:ascii="宋体" w:hAnsi="宋体"/>
                <w:szCs w:val="21"/>
              </w:rPr>
            </w:pPr>
            <w:r>
              <w:rPr>
                <w:rFonts w:hint="eastAsia" w:ascii="宋体" w:hAnsi="宋体"/>
                <w:szCs w:val="21"/>
              </w:rPr>
              <w:t>学校的艺术教育特色促进了学生全面发展，个性发展。经过三年熏陶，学校学生均能掌握1到2门艺术技能，学校连续23年开展为期一个月的校园艺术节，展示学生艺术风采；三年来，师生在国家和省市区各类艺术比赛中获奖700多人次。每年的美术、音乐、传媒类专业省统考，都有学生考进全省前百名，还有学生曾获美术类全省第二名。2017届高三艺术省统考，学校有音乐、美术、传媒编导类考生共6人专业成绩排名全省前100名。近年来，学校美术班本科录取率均在90%以上，已有400多位同学考入中国美院、中央美院、同济大学、东南大学、上海戏剧学院、西安美院等全国知名重点院校。</w:t>
            </w:r>
          </w:p>
          <w:p>
            <w:pPr>
              <w:pStyle w:val="18"/>
              <w:widowControl/>
              <w:spacing w:line="360" w:lineRule="exact"/>
              <w:ind w:firstLine="422"/>
              <w:jc w:val="center"/>
              <w:rPr>
                <w:rFonts w:ascii="宋体" w:hAnsi="宋体"/>
                <w:b/>
                <w:bCs/>
                <w:szCs w:val="21"/>
              </w:rPr>
            </w:pPr>
            <w:r>
              <w:rPr>
                <w:rFonts w:hint="eastAsia" w:ascii="宋体" w:hAnsi="宋体"/>
                <w:b/>
                <w:bCs/>
                <w:szCs w:val="21"/>
              </w:rPr>
              <w:t>第三部分  问题与展望</w:t>
            </w:r>
          </w:p>
          <w:p>
            <w:pPr>
              <w:spacing w:line="360" w:lineRule="exact"/>
              <w:ind w:firstLine="420" w:firstLineChars="200"/>
              <w:rPr>
                <w:rFonts w:ascii="宋体" w:hAnsi="宋体"/>
                <w:color w:val="000000"/>
                <w:szCs w:val="21"/>
              </w:rPr>
            </w:pPr>
            <w:r>
              <w:rPr>
                <w:rFonts w:hint="eastAsia" w:ascii="宋体" w:hAnsi="宋体"/>
                <w:szCs w:val="21"/>
              </w:rPr>
              <w:t>三年前，我们矢志笃行，创成四星。三年来，我们不忘初心，继续前进。学校各项工作取得了新的成绩，也赢得了社会各界的赞誉。</w:t>
            </w:r>
            <w:r>
              <w:rPr>
                <w:rFonts w:hint="eastAsia" w:ascii="宋体" w:hAnsi="宋体"/>
                <w:color w:val="000000"/>
                <w:szCs w:val="21"/>
              </w:rPr>
              <w:t>数十届校友返校联谊，其中89届校友还众筹30万设立“星星点灯”教育基金；每年都有社会贤达捐资奖教；江苏教育报，常州日报，武进电视台、武进日报社等媒体也都主动安排记者来校深入采访报道。</w:t>
            </w:r>
          </w:p>
          <w:p>
            <w:pPr>
              <w:spacing w:line="360" w:lineRule="exact"/>
              <w:ind w:firstLine="420" w:firstLineChars="200"/>
              <w:jc w:val="left"/>
              <w:rPr>
                <w:rFonts w:ascii="宋体" w:hAnsi="宋体"/>
                <w:szCs w:val="21"/>
              </w:rPr>
            </w:pPr>
            <w:r>
              <w:rPr>
                <w:rFonts w:hint="eastAsia" w:ascii="宋体" w:hAnsi="宋体"/>
                <w:szCs w:val="21"/>
              </w:rPr>
              <w:t>但对照《</w:t>
            </w:r>
            <w:r>
              <w:rPr>
                <w:rFonts w:hint="eastAsia" w:ascii="宋体" w:hAnsi="宋体"/>
                <w:color w:val="000000"/>
                <w:szCs w:val="21"/>
              </w:rPr>
              <w:t>中小学校素质教育督导考核标准</w:t>
            </w:r>
            <w:r>
              <w:rPr>
                <w:rFonts w:hint="eastAsia" w:ascii="宋体" w:hAnsi="宋体"/>
                <w:szCs w:val="21"/>
              </w:rPr>
              <w:t>》的更高要求，尤其是要谋学校长远发展，持续发展，学校在以下方面还有待进一步完善与提升：</w:t>
            </w:r>
          </w:p>
          <w:p>
            <w:pPr>
              <w:pStyle w:val="18"/>
              <w:widowControl/>
              <w:spacing w:line="360" w:lineRule="exact"/>
              <w:jc w:val="left"/>
              <w:rPr>
                <w:rFonts w:ascii="宋体" w:hAnsi="宋体"/>
                <w:szCs w:val="21"/>
              </w:rPr>
            </w:pPr>
            <w:r>
              <w:rPr>
                <w:rFonts w:hint="eastAsia" w:ascii="宋体" w:hAnsi="宋体"/>
                <w:szCs w:val="21"/>
              </w:rPr>
              <w:t>一是教师实施教育改革的理念和能力尚需提高。学校将积极申报前瞻性项目和省级课程基地，帮助教师及时更新教育理念，提升业务能力，扩大学校优秀教师、名优教师群体。</w:t>
            </w:r>
          </w:p>
          <w:p>
            <w:pPr>
              <w:pStyle w:val="18"/>
              <w:widowControl/>
              <w:spacing w:line="360" w:lineRule="exact"/>
              <w:jc w:val="left"/>
              <w:rPr>
                <w:rFonts w:ascii="宋体" w:hAnsi="宋体"/>
                <w:szCs w:val="21"/>
              </w:rPr>
            </w:pPr>
            <w:r>
              <w:rPr>
                <w:rFonts w:hint="eastAsia" w:ascii="宋体" w:hAnsi="宋体"/>
                <w:szCs w:val="21"/>
              </w:rPr>
              <w:t>二是学校艺术教育特色还面临继续做强做精的新挑战。外部形势变化万千，学校必须以超前的眼光、创新的思维、积极地应对挑战。确保艺术教育的质量，拓宽艺术教育的出路，提升艺术教育的水平是学校未来发展的重点。</w:t>
            </w:r>
          </w:p>
          <w:p>
            <w:pPr>
              <w:pStyle w:val="18"/>
              <w:widowControl/>
              <w:spacing w:line="360" w:lineRule="exact"/>
              <w:jc w:val="left"/>
              <w:rPr>
                <w:rFonts w:ascii="宋体"/>
              </w:rPr>
            </w:pPr>
            <w:r>
              <w:rPr>
                <w:rFonts w:hint="eastAsia" w:ascii="宋体" w:hAnsi="宋体"/>
                <w:szCs w:val="21"/>
              </w:rPr>
              <w:t>创建四星高中，学校实现了“以评促建、以评促改、以评促发展”。本次督导评估验收，我们也把它看做一次专家问诊把脉，全面检视学校发展的良好机遇。我们将珍惜机会，努力促进学校更好、更优发展。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9291" w:type="dxa"/>
            <w:tcBorders>
              <w:top w:val="single" w:color="auto" w:sz="4" w:space="0"/>
            </w:tcBorders>
            <w:vAlign w:val="center"/>
          </w:tcPr>
          <w:p>
            <w:pPr>
              <w:rPr>
                <w:rFonts w:ascii="宋体"/>
                <w:b/>
              </w:rPr>
            </w:pPr>
            <w:r>
              <w:rPr>
                <w:rFonts w:hint="eastAsia" w:ascii="宋体"/>
                <w:b/>
              </w:rPr>
              <w:t xml:space="preserve"> </w:t>
            </w:r>
          </w:p>
        </w:tc>
      </w:tr>
    </w:tbl>
    <w:p>
      <w:pPr>
        <w:jc w:val="center"/>
        <w:rPr>
          <w:rFonts w:ascii="宋体"/>
          <w:b/>
          <w:sz w:val="36"/>
          <w:szCs w:val="36"/>
        </w:rPr>
      </w:pPr>
      <w:r>
        <w:rPr>
          <w:rFonts w:hint="eastAsia" w:ascii="宋体"/>
          <w:b/>
          <w:sz w:val="36"/>
          <w:szCs w:val="36"/>
        </w:rPr>
        <w:t>三、分项自我评价</w:t>
      </w: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jc w:val="center"/>
              <w:rPr>
                <w:rFonts w:ascii="宋体"/>
                <w:sz w:val="24"/>
              </w:rPr>
            </w:pPr>
            <w:r>
              <w:rPr>
                <w:rFonts w:hint="eastAsia" w:ascii="宋体"/>
                <w:sz w:val="24"/>
              </w:rPr>
              <w:t>B1</w:t>
            </w:r>
          </w:p>
          <w:p>
            <w:pPr>
              <w:jc w:val="center"/>
              <w:rPr>
                <w:rFonts w:ascii="仿宋_GB2312" w:eastAsia="仿宋_GB2312"/>
                <w:color w:val="000000"/>
                <w:sz w:val="24"/>
              </w:rPr>
            </w:pPr>
            <w:r>
              <w:rPr>
                <w:rFonts w:hint="eastAsia" w:ascii="仿宋_GB2312" w:eastAsia="仿宋_GB2312"/>
                <w:color w:val="000000"/>
                <w:sz w:val="24"/>
              </w:rPr>
              <w:t>教育理念</w:t>
            </w:r>
          </w:p>
          <w:p>
            <w:pPr>
              <w:jc w:val="center"/>
              <w:rPr>
                <w:rFonts w:ascii="宋体"/>
                <w:b/>
                <w:sz w:val="24"/>
              </w:rPr>
            </w:pPr>
            <w:r>
              <w:rPr>
                <w:rFonts w:hint="eastAsia" w:ascii="仿宋_GB2312" w:eastAsia="仿宋_GB2312"/>
                <w:color w:val="000000"/>
                <w:sz w:val="24"/>
              </w:rPr>
              <w:t>（4分）</w:t>
            </w:r>
          </w:p>
        </w:tc>
        <w:tc>
          <w:tcPr>
            <w:tcW w:w="6720" w:type="dxa"/>
            <w:vAlign w:val="center"/>
          </w:tcPr>
          <w:p>
            <w:pPr>
              <w:rPr>
                <w:rFonts w:ascii="仿宋_GB2312" w:eastAsia="仿宋_GB2312"/>
                <w:b/>
                <w:sz w:val="24"/>
                <w:szCs w:val="24"/>
              </w:rPr>
            </w:pPr>
            <w:r>
              <w:rPr>
                <w:rFonts w:hint="eastAsia" w:ascii="仿宋_GB2312" w:eastAsia="仿宋_GB2312"/>
                <w:color w:val="000000"/>
                <w:sz w:val="24"/>
              </w:rPr>
              <w:t xml:space="preserve"> </w:t>
            </w:r>
            <w:r>
              <w:rPr>
                <w:rFonts w:hint="eastAsia" w:ascii="仿宋_GB2312" w:eastAsia="仿宋_GB2312"/>
                <w:color w:val="000000"/>
                <w:sz w:val="24"/>
                <w:szCs w:val="24"/>
              </w:rPr>
              <w:t xml:space="preserve"> </w:t>
            </w:r>
            <w:r>
              <w:rPr>
                <w:rFonts w:hint="eastAsia" w:ascii="仿宋_GB2312" w:hAnsi="宋体" w:eastAsia="仿宋_GB2312" w:cs="仿宋_GB2312"/>
                <w:color w:val="000000"/>
                <w:sz w:val="24"/>
                <w:szCs w:val="24"/>
              </w:rPr>
              <w:t>C1．贯彻落实党的教育方针，树立德育为先、能力为重、全面发展的育人理念。以立德树人为根本任务，以促进教育公平和提升教育质量为主要目标，以文化建设、课程建设、数字化校园建设、教学方式变革、学生评价创新、健康促进学校创建等为重点内容，并在实践中落实，素质教育实施扎实有序。( 4分)</w:t>
            </w:r>
            <w:r>
              <w:rPr>
                <w:rFonts w:hint="eastAsia" w:ascii="仿宋_GB2312" w:hAnsi="仿宋" w:eastAsia="仿宋_GB2312"/>
                <w:sz w:val="24"/>
                <w:szCs w:val="24"/>
              </w:rPr>
              <w:t xml:space="preserve"> </w:t>
            </w:r>
          </w:p>
        </w:tc>
        <w:tc>
          <w:tcPr>
            <w:tcW w:w="1260" w:type="dxa"/>
            <w:vAlign w:val="center"/>
          </w:tcPr>
          <w:p>
            <w:pPr>
              <w:jc w:val="center"/>
              <w:rPr>
                <w:rFonts w:ascii="宋体"/>
              </w:rPr>
            </w:pPr>
            <w:r>
              <w:rPr>
                <w:rFonts w:hint="eastAsia" w:ascii="宋体"/>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9291" w:type="dxa"/>
            <w:gridSpan w:val="3"/>
            <w:vAlign w:val="center"/>
          </w:tcPr>
          <w:p>
            <w:pPr>
              <w:spacing w:line="360" w:lineRule="exact"/>
              <w:ind w:firstLine="482" w:firstLineChars="200"/>
              <w:rPr>
                <w:rFonts w:ascii="宋体" w:hAnsi="宋体" w:cs="宋体"/>
                <w:szCs w:val="21"/>
              </w:rPr>
            </w:pPr>
            <w:r>
              <w:rPr>
                <w:rFonts w:hint="eastAsia" w:ascii="宋体" w:hAnsi="宋体" w:cs="宋体"/>
                <w:b/>
                <w:bCs/>
                <w:sz w:val="24"/>
                <w:szCs w:val="21"/>
              </w:rPr>
              <w:t>C1：</w:t>
            </w:r>
            <w:r>
              <w:rPr>
                <w:rFonts w:hint="eastAsia" w:ascii="宋体" w:hAnsi="宋体" w:cs="宋体"/>
                <w:szCs w:val="21"/>
              </w:rPr>
              <w:t>学校严格贯彻全面落实党的教育方针，依据立德树人、能力为重、全面发展的素质教育要求，根据本校学生实际，确立学校的学生培养目标为：强化社会主义核心价值观教育，着力提高学生的综合素养，把学生培养成为身心健康、人格健全、学业优良、富有个性的时代青年。</w:t>
            </w:r>
          </w:p>
          <w:p>
            <w:pPr>
              <w:spacing w:line="360" w:lineRule="exact"/>
              <w:ind w:firstLine="420" w:firstLineChars="200"/>
              <w:rPr>
                <w:rFonts w:ascii="宋体" w:hAnsi="宋体" w:cs="宋体"/>
                <w:szCs w:val="21"/>
              </w:rPr>
            </w:pPr>
            <w:r>
              <w:rPr>
                <w:rFonts w:hint="eastAsia" w:ascii="宋体" w:hAnsi="宋体" w:cs="宋体"/>
                <w:szCs w:val="21"/>
              </w:rPr>
              <w:t>多年来，学校始终坚持“让学生收获成功”这一理念统领学校改革和发展。“让学生收获成功”，即为学生收获成功营造良好的环境，提供必要的条件；既要促进学生的当下发展，帮助学生实现学业的成功，更要着眼学生的全面发展，使他们具备高尚的人格、健康的心理和可持续发展的能力，塑造学生“阳光自信、积极向上”的精神风貌，为学生的未来的幸福人生奠基。</w:t>
            </w:r>
          </w:p>
          <w:p>
            <w:pPr>
              <w:spacing w:line="360" w:lineRule="exact"/>
              <w:ind w:firstLine="420" w:firstLineChars="200"/>
              <w:rPr>
                <w:rFonts w:ascii="宋体" w:hAnsi="宋体" w:cs="宋体"/>
                <w:szCs w:val="21"/>
              </w:rPr>
            </w:pPr>
            <w:r>
              <w:rPr>
                <w:rFonts w:hint="eastAsia" w:ascii="宋体" w:hAnsi="宋体" w:cs="宋体"/>
                <w:szCs w:val="21"/>
              </w:rPr>
              <w:t>学校以立德树人为根本任务，以促进教育公平和提升教育质量为主要目标，并在实践中精细落实，素质教育实施扎实有序。</w:t>
            </w:r>
          </w:p>
          <w:p>
            <w:pPr>
              <w:spacing w:line="360" w:lineRule="exact"/>
              <w:ind w:firstLine="422" w:firstLineChars="200"/>
              <w:rPr>
                <w:rFonts w:ascii="宋体" w:hAnsi="宋体" w:cs="宋体"/>
                <w:szCs w:val="21"/>
              </w:rPr>
            </w:pPr>
            <w:r>
              <w:rPr>
                <w:rFonts w:hint="eastAsia" w:ascii="宋体" w:hAnsi="宋体" w:cs="宋体"/>
                <w:b/>
                <w:bCs/>
                <w:szCs w:val="21"/>
              </w:rPr>
              <w:t>学校文化丰厚浓郁</w:t>
            </w:r>
            <w:r>
              <w:rPr>
                <w:rFonts w:hint="eastAsia" w:ascii="宋体" w:hAnsi="宋体" w:cs="宋体"/>
                <w:szCs w:val="21"/>
              </w:rPr>
              <w:t>。学校积极推进“行”文化建设，“行”文化是对学校60年办学历史砥砺前行、勇于践行、矢志笃行的改革创新精神的高度概括和浓缩提炼。在新时代，学校赋予“行”文化以更加丰富的内涵。“行”既指行程、行事，也指品行、德行。学校倡导的是学习、工作的笃行，广大教师要慎行于教，全体同学要敏行而学。学校确立了“笃行”的校训，形成了 “厚德、弘毅、践行”的校风，“敬业、博学、慎行”的教风，“勤勉、有恒、敏行”的学风，创建了充满生机和活力的文化环境，开展了一系列丰富多彩、文明高雅的师生文化活动。学校文化立校、文化育人的意识不断增强，文化软实力不断增强。</w:t>
            </w:r>
          </w:p>
          <w:p>
            <w:pPr>
              <w:spacing w:line="360" w:lineRule="exact"/>
              <w:ind w:firstLine="422" w:firstLineChars="200"/>
              <w:rPr>
                <w:rFonts w:ascii="宋体" w:hAnsi="宋体" w:cs="宋体"/>
                <w:szCs w:val="21"/>
              </w:rPr>
            </w:pPr>
            <w:r>
              <w:rPr>
                <w:rFonts w:hint="eastAsia" w:ascii="宋体" w:hAnsi="宋体" w:cs="宋体"/>
                <w:b/>
                <w:bCs/>
                <w:szCs w:val="21"/>
              </w:rPr>
              <w:t>教学改革不断深化。</w:t>
            </w:r>
            <w:r>
              <w:rPr>
                <w:rFonts w:hint="eastAsia" w:ascii="宋体" w:hAnsi="宋体" w:cs="宋体"/>
                <w:szCs w:val="21"/>
              </w:rPr>
              <w:t>学校大力推进教与学的改革，以学生全面发展为目标，以“生本课堂”教学探索为重点，努力创设民主、平等、和谐、互动的教学环境，积极倡导、引领学生学习策略的优化。学校成立了以校长为组长的教学改革领导小组，制订了《“生本课堂”实验实施方案》《生本课堂教学评价表》，深入开展行动研究。经过多年的探索实践，学校的教学改革取得了显著成效。一是教学模式逐步形成。二是教师观念有了明显的转变，师生积极</w:t>
            </w:r>
            <w:r>
              <w:rPr>
                <w:rFonts w:hint="eastAsia" w:ascii="宋体" w:hAnsi="宋体" w:cs="宋体"/>
                <w:color w:val="000000"/>
                <w:szCs w:val="21"/>
              </w:rPr>
              <w:t>互</w:t>
            </w:r>
            <w:r>
              <w:rPr>
                <w:rFonts w:hint="eastAsia" w:ascii="宋体" w:hAnsi="宋体" w:cs="宋体"/>
                <w:szCs w:val="21"/>
              </w:rPr>
              <w:t>动，课堂教学能力有明显提高。三是学生学业负担明显减轻，学习效率明显提高。</w:t>
            </w:r>
          </w:p>
          <w:p>
            <w:pPr>
              <w:spacing w:line="360" w:lineRule="exact"/>
              <w:ind w:firstLine="422" w:firstLineChars="200"/>
              <w:rPr>
                <w:rFonts w:ascii="宋体" w:hAnsi="宋体" w:cs="宋体"/>
                <w:szCs w:val="21"/>
              </w:rPr>
            </w:pPr>
            <w:r>
              <w:rPr>
                <w:rFonts w:hint="eastAsia" w:ascii="宋体" w:hAnsi="宋体" w:cs="宋体"/>
                <w:b/>
                <w:bCs/>
                <w:szCs w:val="21"/>
              </w:rPr>
              <w:t>课程建设成果显著。</w:t>
            </w:r>
            <w:r>
              <w:rPr>
                <w:rFonts w:hint="eastAsia" w:ascii="宋体" w:hAnsi="宋体" w:cs="宋体"/>
                <w:szCs w:val="21"/>
              </w:rPr>
              <w:t>学校一方面严格执行国家课程政策，认真落实各项国家课程和地方课程，同时以促进学生全面发展、富有个性地发展为目标，以艺术教育特色为重点，充分利用本地本校教育资源，积极开发多种形式的校本课程。学校形成了“生命教育”“艺术教育”和“科技教育”三大类具有地域特征、乡土特色和时代气息的校本课程体系。学校先后开发实施了《礼仪与生活》《艺术与人生》《人生规划》等3门面向全体学生的校本必修课程，《动漫文化》《生活中的化学》等近50门供学生选择的校本选修课程，其中《艺术与人生》《卡通的欣赏与制作》被评为省、市级优秀校本教材。同时学校以培养艺术特长为重点，组建了“素写淡然”、“众音社”、“水墨之旅”等十多个纳入课外活动序列的学生艺术社团。</w:t>
            </w:r>
          </w:p>
          <w:p>
            <w:pPr>
              <w:pStyle w:val="18"/>
              <w:widowControl/>
              <w:spacing w:line="360" w:lineRule="exact"/>
              <w:ind w:firstLine="422"/>
              <w:jc w:val="left"/>
              <w:rPr>
                <w:rFonts w:ascii="宋体" w:hAnsi="宋体" w:cs="宋体"/>
                <w:szCs w:val="21"/>
              </w:rPr>
            </w:pPr>
            <w:r>
              <w:rPr>
                <w:rFonts w:hint="eastAsia" w:ascii="宋体" w:hAnsi="宋体" w:cs="宋体"/>
                <w:b/>
                <w:bCs/>
                <w:szCs w:val="21"/>
              </w:rPr>
              <w:t>艺术品牌彰显效应。</w:t>
            </w:r>
            <w:r>
              <w:rPr>
                <w:rFonts w:hint="eastAsia" w:ascii="宋体" w:hAnsi="宋体" w:cs="宋体"/>
                <w:szCs w:val="21"/>
              </w:rPr>
              <w:t>学校开办艺术教育特色班已20年，多年来，坚持“以艺术教育特色为龙头，全面提升学校办学质量”的行动策略，通过课程建设、师资培养、高校支持等多种途径，着力打造“艺术教育特色品牌”，在艺术普及和艺术高考两方面均取得了辉煌成就。学校是江苏省艺术教育特色学校和全国百强特色学校。2015年，学校成为中国美术学院在全国仅有的7所“生源培育基地实验学校”之一。 20年来，学校艺术教育形成为鲜明的特色品牌，享誉常武，辐射周边。学校培养了一大批身心健康，阳光开朗、才艺双全、学业有成的学生。学校每年都为“985”、“211工程”重点高校以及知名艺术院校输送大批人才。到2017年，学校有400多位同学考入中国美院、中央美院、同济大学、东南大学、上海戏剧学院、西安美院等全国知名重点院校。</w:t>
            </w:r>
          </w:p>
          <w:p>
            <w:pPr>
              <w:spacing w:line="360" w:lineRule="exact"/>
              <w:ind w:firstLine="422" w:firstLineChars="200"/>
              <w:rPr>
                <w:rFonts w:ascii="宋体" w:hAnsi="宋体" w:cs="宋体"/>
                <w:szCs w:val="21"/>
              </w:rPr>
            </w:pPr>
            <w:r>
              <w:rPr>
                <w:rFonts w:hint="eastAsia" w:ascii="宋体" w:hAnsi="宋体" w:cs="宋体"/>
                <w:b/>
                <w:szCs w:val="21"/>
              </w:rPr>
              <w:t>数字化校园建设。</w:t>
            </w:r>
            <w:r>
              <w:rPr>
                <w:rFonts w:hint="eastAsia" w:ascii="宋体" w:hAnsi="宋体" w:cs="宋体"/>
                <w:szCs w:val="21"/>
              </w:rPr>
              <w:t>学校积极探索网络环境下的管理改革，建立学校信息中心，用信息化技术实施管理。学</w:t>
            </w:r>
            <w:r>
              <w:rPr>
                <w:rFonts w:hint="eastAsia" w:ascii="宋体" w:hAnsi="宋体" w:cs="宋体"/>
                <w:bCs/>
                <w:kern w:val="0"/>
                <w:szCs w:val="21"/>
              </w:rPr>
              <w:t>校充分发挥信息中心、校园网的功能，在学校各类管理中基本实现管理数字化。近三年，</w:t>
            </w:r>
            <w:r>
              <w:rPr>
                <w:rFonts w:hint="eastAsia" w:ascii="宋体" w:hAnsi="宋体" w:cs="宋体"/>
                <w:szCs w:val="21"/>
              </w:rPr>
              <w:t>学校新建了高标准的录播教室，为每个教室更新配置了高规格的多媒体交互式一体机，全面提升教师用信息化手段进行教学活动的能力，提高了课堂效益。学校在考勤、评教评学、班级考核中，运用信息技术手段及时发布相关信息，收到了良好效果。通过“江苏和教育”平台，家校联系QQ群、微信群等实现学校与家长间的互动，加深了学校与社会、与上级教育部门之间的沟通与交流。学校被评为“常州市现代教育技术工作先进集体”“常州市信息技术特色学校”。</w:t>
            </w:r>
          </w:p>
          <w:p>
            <w:pPr>
              <w:spacing w:line="360" w:lineRule="exact"/>
              <w:ind w:firstLine="422" w:firstLineChars="200"/>
              <w:rPr>
                <w:rFonts w:ascii="宋体" w:hAnsi="宋体" w:cs="宋体"/>
                <w:bCs/>
                <w:kern w:val="0"/>
                <w:szCs w:val="21"/>
              </w:rPr>
            </w:pPr>
            <w:r>
              <w:rPr>
                <w:rFonts w:hint="eastAsia" w:ascii="宋体" w:hAnsi="宋体" w:cs="宋体"/>
                <w:b/>
                <w:szCs w:val="21"/>
              </w:rPr>
              <w:t xml:space="preserve">学生评价创新 </w:t>
            </w:r>
            <w:r>
              <w:rPr>
                <w:rFonts w:hint="eastAsia" w:ascii="宋体" w:hAnsi="宋体" w:cs="宋体"/>
                <w:bCs/>
                <w:kern w:val="0"/>
                <w:szCs w:val="21"/>
              </w:rPr>
              <w:t>学校以“引导发展，注重个性”为基本思路，建立起注重突出评价主体的多元性、评价内容的综合性、评价行为的过程性的学生评价体系，确立了学生在评价中的主体地位；使评价的过程成为学生发展自主评价能力、促进学习进步的过程，重视综合素质评价，促进学生终身发展。学校制定《洛阳高级中学学生综合素质评价实施细则》《洛阳高级中学学分认定及管理办法》《洛阳高级中学学生评优规定》等方案，努力促进学生进步和发展。学校建立学生成长记录手册，实行学生学业成绩和成长记录相结合的评价方式。学校拓展评价内容和评价主体为多元评价。实行学分制管理，严格学分认定的标准、程序，规范操作过程。班主任给学生的评语注重培养学生自信心，使学生树立健康良好的心态。学校既关注学生全面发展，又尊重学生个性差异，设立“进步学生”“校园之星”“美德少年”等富有个性化的奖项。</w:t>
            </w:r>
          </w:p>
          <w:p>
            <w:pPr>
              <w:spacing w:line="360" w:lineRule="exact"/>
              <w:ind w:firstLine="422" w:firstLineChars="200"/>
              <w:rPr>
                <w:rFonts w:ascii="宋体"/>
                <w:szCs w:val="21"/>
              </w:rPr>
            </w:pPr>
            <w:r>
              <w:rPr>
                <w:rFonts w:hint="eastAsia" w:ascii="宋体" w:hAnsi="宋体" w:cs="宋体"/>
                <w:b/>
                <w:kern w:val="0"/>
                <w:szCs w:val="21"/>
              </w:rPr>
              <w:t>健康促进学校创建。</w:t>
            </w:r>
            <w:r>
              <w:rPr>
                <w:rFonts w:hint="eastAsia" w:ascii="宋体" w:hAnsi="宋体" w:cs="宋体"/>
                <w:bCs/>
                <w:kern w:val="0"/>
                <w:szCs w:val="21"/>
              </w:rPr>
              <w:t xml:space="preserve"> 学校把健康作为教育的出发点，全面实施素质教育，加大学生健康教育力度，提高学校健康教育水平。学校保证教师及学生在校每天锻炼一小时，积极开展有益身心健康的师生文体活动；做好一年一度的学生体检工作，制定学生常见病防治方案和措施，开设健康教育课，做到有课时、有教师、有规范的教学管理；制定环境卫生制度，组织师生开展环境卫生整治，保证环境洁净、优美；加强学校食堂卫生的管理，确保师生食品安全；积极加大无烟学校宣传力度。学校坚持以人为本，根</w:t>
            </w:r>
            <w:r>
              <w:rPr>
                <w:rFonts w:hint="eastAsia" w:ascii="宋体" w:hAnsi="宋体" w:cs="宋体"/>
                <w:szCs w:val="21"/>
              </w:rPr>
              <w:t>据学生心理特点及发展规律，运用心理健康的理论和方法，开展丰富多彩的活动，培育学生良好的心理素质，促进他们身心全面和谐的发展。学校荣获2015年江苏省健康促进银奖学校。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9291" w:type="dxa"/>
            <w:gridSpan w:val="3"/>
            <w:vAlign w:val="center"/>
          </w:tcPr>
          <w:p>
            <w:pPr>
              <w:rPr>
                <w:rFonts w:ascii="宋体"/>
                <w:b/>
                <w:sz w:val="24"/>
              </w:rPr>
            </w:pPr>
          </w:p>
        </w:tc>
      </w:tr>
    </w:tbl>
    <w:p>
      <w:pPr>
        <w:rPr>
          <w:rFonts w:ascii="宋体"/>
        </w:rPr>
      </w:pPr>
      <w:r>
        <w:rPr>
          <w:rFonts w:hint="eastAsia" w:ascii="宋体"/>
        </w:rPr>
        <w:t>注：必查材料为近三年学校工作计划及总结、优质特色发展实施方案及总结。</w:t>
      </w:r>
    </w:p>
    <w:p>
      <w:pPr>
        <w:rPr>
          <w:rFonts w:ascii="宋体"/>
        </w:rPr>
      </w:pP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jc w:val="center"/>
              <w:rPr>
                <w:rFonts w:ascii="仿宋_GB2312" w:eastAsia="仿宋_GB2312"/>
                <w:color w:val="000000"/>
                <w:sz w:val="24"/>
              </w:rPr>
            </w:pPr>
            <w:r>
              <w:rPr>
                <w:rFonts w:hint="eastAsia" w:ascii="仿宋_GB2312" w:eastAsia="仿宋_GB2312"/>
                <w:color w:val="000000"/>
                <w:sz w:val="24"/>
              </w:rPr>
              <w:t>B2</w:t>
            </w:r>
          </w:p>
          <w:p>
            <w:pPr>
              <w:jc w:val="center"/>
              <w:rPr>
                <w:rFonts w:ascii="仿宋_GB2312" w:eastAsia="仿宋_GB2312"/>
                <w:color w:val="000000"/>
                <w:sz w:val="24"/>
              </w:rPr>
            </w:pPr>
            <w:r>
              <w:rPr>
                <w:rFonts w:hint="eastAsia" w:ascii="仿宋_GB2312" w:eastAsia="仿宋_GB2312"/>
                <w:color w:val="000000"/>
                <w:sz w:val="24"/>
              </w:rPr>
              <w:t>办学思路</w:t>
            </w:r>
          </w:p>
          <w:p>
            <w:pPr>
              <w:jc w:val="center"/>
              <w:rPr>
                <w:rFonts w:ascii="宋体"/>
                <w:b/>
                <w:sz w:val="24"/>
              </w:rPr>
            </w:pPr>
            <w:r>
              <w:rPr>
                <w:rFonts w:hint="eastAsia" w:ascii="仿宋_GB2312" w:eastAsia="仿宋_GB2312"/>
                <w:color w:val="000000"/>
                <w:sz w:val="24"/>
              </w:rPr>
              <w:t>（6分）</w:t>
            </w:r>
          </w:p>
        </w:tc>
        <w:tc>
          <w:tcPr>
            <w:tcW w:w="6720" w:type="dxa"/>
            <w:vAlign w:val="center"/>
          </w:tcPr>
          <w:p>
            <w:pPr>
              <w:ind w:firstLine="480" w:firstLineChars="200"/>
              <w:rPr>
                <w:rFonts w:ascii="仿宋_GB2312" w:eastAsia="仿宋_GB2312"/>
                <w:b/>
                <w:sz w:val="24"/>
                <w:szCs w:val="24"/>
              </w:rPr>
            </w:pPr>
            <w:r>
              <w:rPr>
                <w:rFonts w:hint="eastAsia" w:ascii="仿宋_GB2312" w:hAnsi="宋体" w:eastAsia="仿宋_GB2312" w:cs="仿宋_GB2312"/>
                <w:color w:val="000000"/>
                <w:sz w:val="24"/>
                <w:szCs w:val="24"/>
              </w:rPr>
              <w:t>C2．科学制定学校发展规划，目标明确，遵循规律，抓规范、抓质量、抓特色，措施有效，师生知晓率、认同度高，年度工作中得到落实，促进学校持续发展。( 6分)</w:t>
            </w:r>
            <w:r>
              <w:rPr>
                <w:rFonts w:hint="eastAsia" w:ascii="仿宋_GB2312" w:eastAsia="仿宋_GB2312"/>
                <w:b/>
                <w:sz w:val="24"/>
                <w:szCs w:val="24"/>
              </w:rPr>
              <w:t xml:space="preserve"> </w:t>
            </w:r>
          </w:p>
        </w:tc>
        <w:tc>
          <w:tcPr>
            <w:tcW w:w="1260" w:type="dxa"/>
            <w:vAlign w:val="center"/>
          </w:tcPr>
          <w:p>
            <w:pPr>
              <w:jc w:val="center"/>
              <w:rPr>
                <w:rFonts w:ascii="宋体"/>
              </w:rPr>
            </w:pPr>
            <w:r>
              <w:rPr>
                <w:rFonts w:hint="eastAsia" w:ascii="宋体"/>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291" w:type="dxa"/>
            <w:gridSpan w:val="3"/>
            <w:vAlign w:val="center"/>
          </w:tcPr>
          <w:p>
            <w:pPr>
              <w:spacing w:line="360" w:lineRule="exact"/>
              <w:ind w:firstLine="482" w:firstLineChars="200"/>
              <w:rPr>
                <w:rFonts w:ascii="宋体" w:hAnsi="宋体" w:cs="宋体"/>
                <w:szCs w:val="21"/>
              </w:rPr>
            </w:pPr>
            <w:r>
              <w:rPr>
                <w:rFonts w:hint="eastAsia" w:ascii="宋体" w:hAnsi="宋体" w:cs="宋体"/>
                <w:b/>
                <w:bCs/>
                <w:sz w:val="24"/>
                <w:szCs w:val="24"/>
              </w:rPr>
              <w:t>C2：</w:t>
            </w:r>
            <w:r>
              <w:rPr>
                <w:rFonts w:hint="eastAsia" w:ascii="宋体" w:hAnsi="宋体" w:cs="宋体"/>
                <w:szCs w:val="21"/>
              </w:rPr>
              <w:t>自2014年创建成为省四星级普通高中以来，学校按照“以艺术教育特色为龙头，全面提升学校办学质量”的行动策略，学校制定了14到16年的第四轮三年主动发展规划。2017年学校又制定了第五轮三年主动发展规划，以管理创新、“行”文化建设、生命教育、课程建设、教学改革、队伍建设和数字化校园建设、艺术教育特色等为目标，追求优质特色发展，促进内涵不断丰富，办学水平持续提升。办学思路写入年度工作报告，由教代会审议通过，通过教师大会、学生集会、班会课等各种途径进行宣传和解读，在学期初的全体教职工大会上进行了阐述，并纳入学校年度工作计划。每学期的期初开学典礼及期末总结表彰会上进行梳理、总结，并分析实施效果，表彰取得成果的优秀师生，师生知晓率、认同度高。</w:t>
            </w:r>
          </w:p>
          <w:p>
            <w:pPr>
              <w:spacing w:line="360" w:lineRule="exact"/>
              <w:ind w:firstLine="420" w:firstLineChars="200"/>
              <w:rPr>
                <w:rFonts w:ascii="宋体" w:hAnsi="宋体" w:cs="宋体"/>
                <w:szCs w:val="21"/>
              </w:rPr>
            </w:pPr>
            <w:r>
              <w:rPr>
                <w:rFonts w:hint="eastAsia" w:ascii="宋体" w:hAnsi="宋体" w:cs="宋体"/>
                <w:szCs w:val="21"/>
              </w:rPr>
              <w:t>八个方面重点工作是：</w:t>
            </w:r>
            <w:r>
              <w:rPr>
                <w:rFonts w:hint="eastAsia" w:ascii="宋体" w:hAnsi="宋体" w:cs="宋体"/>
                <w:b/>
                <w:bCs/>
                <w:szCs w:val="21"/>
              </w:rPr>
              <w:t xml:space="preserve"> 一是实施管理创新建设工程，着力推进学校制度建设。</w:t>
            </w:r>
            <w:r>
              <w:rPr>
                <w:rFonts w:hint="eastAsia" w:ascii="宋体" w:hAnsi="宋体" w:cs="宋体"/>
                <w:szCs w:val="21"/>
              </w:rPr>
              <w:t>学校积极推进“依法办学、自主管理、民主监督、社会参与”的现代学校制度建设，构建起以目标计划为导向、过程管理为核心、师生主动发展为动力、业绩考评为杠杆的管理机制，着力提高学校管理的品质与水平。</w:t>
            </w:r>
            <w:r>
              <w:rPr>
                <w:rFonts w:hint="eastAsia" w:ascii="宋体" w:hAnsi="宋体" w:cs="宋体"/>
                <w:b/>
                <w:bCs/>
                <w:szCs w:val="21"/>
              </w:rPr>
              <w:t>二是实施“行”文化建设工程，着力推进学校文化建设。</w:t>
            </w:r>
            <w:r>
              <w:rPr>
                <w:rFonts w:hint="eastAsia" w:ascii="宋体" w:hAnsi="宋体" w:cs="宋体"/>
                <w:szCs w:val="21"/>
              </w:rPr>
              <w:t>学校以“行”文化为主题，加强文化建设，引领内涵发展，提升办学品位。学校根据“让学生收获成功”的办学理念和发展艺术教育特色的发展目标，开展由全体师生共同参与的学校文化建设，提升校园文化的品质。</w:t>
            </w:r>
            <w:r>
              <w:rPr>
                <w:rFonts w:hint="eastAsia" w:ascii="宋体" w:hAnsi="宋体" w:cs="宋体"/>
                <w:b/>
                <w:bCs/>
                <w:szCs w:val="21"/>
              </w:rPr>
              <w:t>三是实施生命教育建设工程，着力拓展德育的有效途径。</w:t>
            </w:r>
            <w:r>
              <w:rPr>
                <w:rFonts w:hint="eastAsia" w:ascii="宋体" w:hAnsi="宋体" w:cs="宋体"/>
                <w:szCs w:val="21"/>
              </w:rPr>
              <w:t>学校坚持立德树人、德育为先，大力培育和践行社会主义核心价值观，以“热爱生活”的生命教育为基础，以促进学生形成良好行为习惯为重点，坚持学校教育与家庭教育、社会教育相结合的方针，着力拓展德育的有效途径。</w:t>
            </w:r>
            <w:r>
              <w:rPr>
                <w:rFonts w:hint="eastAsia" w:ascii="宋体" w:hAnsi="宋体" w:cs="宋体"/>
                <w:b/>
                <w:bCs/>
                <w:szCs w:val="21"/>
              </w:rPr>
              <w:t>四是实施师德师能建设工程，着力建设高素质教师团队。</w:t>
            </w:r>
            <w:r>
              <w:rPr>
                <w:rFonts w:hint="eastAsia" w:ascii="宋体" w:hAnsi="宋体" w:cs="宋体"/>
                <w:szCs w:val="21"/>
              </w:rPr>
              <w:t>学校建立健全教师队伍建设的工作机制，切实加强师德师能建设，锤炼一支师德高尚、业务精良、具有团队精神和创新意识的德能兼优的教师队伍。根据发展艺术特色教育的需要，提高全体教师的艺术素养。培养一批能够开发和实施艺术选修课程的教师。努力创设青年教师快速成长的良好环境，着力培养骨干教师和名优教师。</w:t>
            </w:r>
            <w:r>
              <w:rPr>
                <w:rFonts w:hint="eastAsia" w:ascii="宋体" w:hAnsi="宋体" w:cs="宋体"/>
                <w:b/>
                <w:bCs/>
                <w:szCs w:val="21"/>
              </w:rPr>
              <w:t>五是实施课程建设工程，着力完善学校课程体系。</w:t>
            </w:r>
            <w:r>
              <w:rPr>
                <w:rFonts w:hint="eastAsia" w:ascii="宋体" w:hAnsi="宋体" w:cs="宋体"/>
                <w:szCs w:val="21"/>
              </w:rPr>
              <w:t>学校基于建设学校“行”文化和进一步彰显艺术教育特色的目标，着眼学生全面发展、个性发展，进一步扎实推进课程建设，不断提高国家课程校本化实施水平，着力构建起适切本校实际、具有本校特色的校本课程体系，大力加强艺术特色课程建设。</w:t>
            </w:r>
            <w:r>
              <w:rPr>
                <w:rFonts w:hint="eastAsia" w:ascii="宋体" w:hAnsi="宋体" w:cs="宋体"/>
                <w:b/>
                <w:bCs/>
                <w:color w:val="000000"/>
                <w:szCs w:val="21"/>
              </w:rPr>
              <w:t>六是实施生本课堂建设工程，着力提升教学品质。</w:t>
            </w:r>
            <w:r>
              <w:rPr>
                <w:rFonts w:hint="eastAsia" w:ascii="宋体" w:hAnsi="宋体" w:cs="宋体"/>
                <w:szCs w:val="21"/>
              </w:rPr>
              <w:t>学校以培养学生学习能力、激发学生学习潜能，全面提高教学质量为目标，积极探索“以人为本、激扬生命”为特征的生本课堂教学模式。推进教师教学方式和学生学习方式的变革，提高课堂效率，提升教学品质。</w:t>
            </w:r>
            <w:r>
              <w:rPr>
                <w:rFonts w:hint="eastAsia" w:ascii="宋体" w:hAnsi="宋体" w:cs="宋体"/>
                <w:b/>
                <w:bCs/>
                <w:szCs w:val="21"/>
              </w:rPr>
              <w:t>七是实施数字化校园建设工程，着力推进教育现代化水平。</w:t>
            </w:r>
            <w:r>
              <w:rPr>
                <w:rFonts w:hint="eastAsia" w:ascii="宋体" w:hAnsi="宋体" w:cs="宋体"/>
                <w:szCs w:val="21"/>
              </w:rPr>
              <w:t>学校大力促进信息技术与学校管理的深度融合，基本实现教育管理信息化。着力构建起比较完善的学校管理信息系统、教科教研网络平台等，初步建成设施先进、内容丰富，运作便捷高效、师生共建共享的数字化校园。</w:t>
            </w:r>
            <w:r>
              <w:rPr>
                <w:rFonts w:hint="eastAsia" w:ascii="宋体" w:hAnsi="宋体" w:cs="宋体"/>
                <w:b/>
                <w:szCs w:val="21"/>
              </w:rPr>
              <w:t>八、实施品牌亮化工程，着力强化艺术教育特色。</w:t>
            </w:r>
            <w:r>
              <w:rPr>
                <w:rFonts w:hint="eastAsia" w:ascii="宋体" w:hAnsi="宋体" w:cs="宋体"/>
                <w:szCs w:val="21"/>
              </w:rPr>
              <w:t>进一步亮化学校业已形成的艺术教育特色教育品牌，在学校艺术课程、艺术师资、艺术活动、艺术科研、艺术高考等方面加大探索力度，持续推进学校艺术教育稳步健康发展。</w:t>
            </w:r>
          </w:p>
          <w:p>
            <w:pPr>
              <w:spacing w:line="360" w:lineRule="exact"/>
              <w:ind w:firstLine="420" w:firstLineChars="200"/>
              <w:rPr>
                <w:rFonts w:ascii="宋体"/>
                <w:b/>
                <w:sz w:val="24"/>
              </w:rPr>
            </w:pPr>
            <w:r>
              <w:rPr>
                <w:rFonts w:hint="eastAsia" w:ascii="宋体" w:hAnsi="宋体" w:cs="宋体"/>
                <w:szCs w:val="21"/>
              </w:rPr>
              <w:t>学校规划涵盖全面，措施扎实，努力实现注重教学质量和学校内涵的同步提升，具有较强的可操作性。在新常态、新思路下，学校各项工作成绩显著：高考质量续写辉煌，连续十一年获武进区全面实施素质教育工作一等奖。特别是四星创建以来，高考本科达线率实现一年一大步，三年大跨越。学校持续高速优质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rPr>
                <w:rFonts w:ascii="宋体"/>
                <w:b/>
                <w:sz w:val="24"/>
              </w:rPr>
            </w:pPr>
          </w:p>
        </w:tc>
      </w:tr>
    </w:tbl>
    <w:p>
      <w:pPr>
        <w:rPr>
          <w:rFonts w:ascii="宋体"/>
        </w:rPr>
      </w:pPr>
      <w:r>
        <w:rPr>
          <w:rFonts w:hint="eastAsia" w:ascii="宋体"/>
        </w:rPr>
        <w:t>注：必查材料为学校执行中的发展规划、专家论证意见和教育主管部门认定书。</w:t>
      </w:r>
    </w:p>
    <w:p>
      <w:pPr>
        <w:rPr>
          <w:rFonts w:ascii="宋体"/>
        </w:rPr>
      </w:pP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ascii="宋体"/>
                <w:b/>
                <w:sz w:val="30"/>
              </w:rPr>
              <w:t xml:space="preserve"> </w:t>
            </w: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spacing w:line="340" w:lineRule="exact"/>
              <w:jc w:val="center"/>
              <w:rPr>
                <w:rFonts w:ascii="仿宋_GB2312" w:eastAsia="仿宋_GB2312"/>
                <w:color w:val="000000"/>
                <w:sz w:val="24"/>
              </w:rPr>
            </w:pPr>
            <w:r>
              <w:rPr>
                <w:rFonts w:hint="eastAsia" w:ascii="仿宋_GB2312" w:eastAsia="仿宋_GB2312"/>
                <w:color w:val="000000"/>
                <w:sz w:val="24"/>
              </w:rPr>
              <w:t>B3</w:t>
            </w:r>
          </w:p>
          <w:p>
            <w:pPr>
              <w:spacing w:line="340" w:lineRule="exact"/>
              <w:jc w:val="center"/>
              <w:rPr>
                <w:rFonts w:ascii="仿宋_GB2312" w:eastAsia="仿宋_GB2312"/>
                <w:color w:val="000000"/>
                <w:sz w:val="24"/>
              </w:rPr>
            </w:pPr>
            <w:r>
              <w:rPr>
                <w:rFonts w:hint="eastAsia" w:ascii="仿宋_GB2312" w:hAnsi="宋体" w:eastAsia="仿宋_GB2312"/>
                <w:color w:val="000000"/>
                <w:sz w:val="24"/>
              </w:rPr>
              <w:t>依法治校</w:t>
            </w:r>
          </w:p>
          <w:p>
            <w:pPr>
              <w:spacing w:line="340" w:lineRule="exact"/>
              <w:jc w:val="center"/>
              <w:rPr>
                <w:rFonts w:ascii="仿宋_GB2312" w:eastAsia="仿宋_GB2312"/>
                <w:color w:val="000000"/>
                <w:sz w:val="24"/>
              </w:rPr>
            </w:pPr>
            <w:r>
              <w:rPr>
                <w:rFonts w:hint="eastAsia" w:ascii="仿宋_GB2312" w:eastAsia="仿宋_GB2312"/>
                <w:color w:val="000000"/>
                <w:sz w:val="24"/>
              </w:rPr>
              <w:t>（3分）</w:t>
            </w:r>
          </w:p>
        </w:tc>
        <w:tc>
          <w:tcPr>
            <w:tcW w:w="6720" w:type="dxa"/>
            <w:vAlign w:val="center"/>
          </w:tcPr>
          <w:p>
            <w:pPr>
              <w:spacing w:line="318" w:lineRule="exact"/>
              <w:ind w:left="1" w:firstLine="480" w:firstLineChars="200"/>
              <w:rPr>
                <w:rFonts w:ascii="仿宋_GB2312" w:eastAsia="仿宋_GB2312"/>
                <w:color w:val="000000"/>
                <w:sz w:val="24"/>
                <w:szCs w:val="24"/>
              </w:rPr>
            </w:pPr>
            <w:r>
              <w:rPr>
                <w:rFonts w:hint="eastAsia" w:ascii="仿宋_GB2312" w:hAnsi="宋体" w:eastAsia="仿宋_GB2312" w:cs="仿宋_GB2312"/>
                <w:color w:val="000000"/>
                <w:sz w:val="24"/>
                <w:szCs w:val="24"/>
              </w:rPr>
              <w:t>C3．严格执行教育法规，依法维护教学秩序和师生权益。适时制定修订学校章程，依章程办学，完善学校管理制度。实行校务公开，公众意见渠道畅通。充分发挥党组织、教代会、家长委员会（董事会）的作用，岗位聘任合理，教师满意度达85%以上。（3分）</w:t>
            </w:r>
          </w:p>
        </w:tc>
        <w:tc>
          <w:tcPr>
            <w:tcW w:w="1260" w:type="dxa"/>
            <w:vAlign w:val="center"/>
          </w:tcPr>
          <w:p>
            <w:pPr>
              <w:jc w:val="center"/>
              <w:rPr>
                <w:rFonts w:ascii="宋体"/>
              </w:rPr>
            </w:pPr>
            <w:r>
              <w:rPr>
                <w:rFonts w:hint="eastAsia" w:ascii="宋体"/>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spacing w:line="360" w:lineRule="exact"/>
              <w:ind w:firstLine="482" w:firstLineChars="200"/>
              <w:rPr>
                <w:rFonts w:ascii="宋体" w:hAnsi="宋体" w:cs="宋体"/>
                <w:szCs w:val="21"/>
              </w:rPr>
            </w:pPr>
            <w:r>
              <w:rPr>
                <w:rFonts w:hint="eastAsia" w:ascii="宋体" w:hAnsi="宋体" w:cs="宋体"/>
                <w:b/>
                <w:bCs/>
                <w:sz w:val="24"/>
                <w:szCs w:val="24"/>
              </w:rPr>
              <w:t>C3：</w:t>
            </w:r>
            <w:r>
              <w:rPr>
                <w:rFonts w:hint="eastAsia" w:ascii="宋体" w:hAnsi="宋体" w:cs="宋体"/>
                <w:szCs w:val="21"/>
              </w:rPr>
              <w:t>学校坚持依法治校，严格执行教育法规政策，规范办学行为，依法维护教学秩序和师生权益；学校2017年重新完善了《洛阳高级中学章程》，并不断修改完善学校各项管理制度。学校坚持推行校务公开制度，充分发挥党支部、教代会和家长委员会的作用。</w:t>
            </w:r>
          </w:p>
          <w:p>
            <w:pPr>
              <w:spacing w:line="360" w:lineRule="exact"/>
              <w:ind w:firstLine="422" w:firstLineChars="200"/>
              <w:rPr>
                <w:rFonts w:ascii="宋体" w:hAnsi="宋体" w:cs="宋体"/>
                <w:szCs w:val="21"/>
              </w:rPr>
            </w:pPr>
            <w:r>
              <w:rPr>
                <w:rFonts w:hint="eastAsia" w:ascii="宋体" w:hAnsi="宋体" w:cs="宋体"/>
                <w:b/>
                <w:bCs/>
                <w:szCs w:val="21"/>
              </w:rPr>
              <w:t>实行校务公开，公众意见渠道畅通</w:t>
            </w:r>
            <w:r>
              <w:rPr>
                <w:rFonts w:hint="eastAsia" w:ascii="宋体" w:hAnsi="宋体" w:cs="宋体"/>
                <w:szCs w:val="21"/>
              </w:rPr>
              <w:t>。学校依法办学，坚持校务政务公开并制定了《常州市武进区洛阳高级中学校务政务公开制度》。学校每周召开一次校长办公会，每两周召开一次的行政会议和教职工大会。各项校务坚持民主集中制，并以不同形式及时向社会、师生公开。充分发挥党组织的监督保障作用。学校坚持教代会制度，每年召开一次教代会，重大问题充分听取教职工的意见，确保决策的科学性和权威性。重大决策均需由教代会审议通过后才能实施。团委、学生会做好学校与学生沟通桥梁作用。全校教职工充分发扬主人翁精神，积极参与学校民主管理，为学校的改革发展献计献策。学校政教处、教研处等部门召开学生座谈会，及时了解学生对学校班级管理、课堂教学等工作的意见和要求，配合学生评教机制，通过开展学生评教师等活动，让学生参与学校的管理。学校建立家长委员会，召开家委会会议，邀请家委会成员参与学校管理。举办家长学校，开通实体和网络“校长信箱”，使社会和师生、学生家长直接与校长对话。学校是“武进区教育系统校务公开工作先进单位”。</w:t>
            </w:r>
          </w:p>
          <w:p>
            <w:pPr>
              <w:spacing w:line="360" w:lineRule="exact"/>
              <w:ind w:firstLine="422" w:firstLineChars="200"/>
              <w:rPr>
                <w:rFonts w:ascii="宋体" w:hAnsi="宋体" w:cs="宋体"/>
                <w:szCs w:val="21"/>
              </w:rPr>
            </w:pPr>
            <w:r>
              <w:rPr>
                <w:rFonts w:hint="eastAsia" w:ascii="宋体" w:hAnsi="宋体" w:cs="宋体"/>
                <w:b/>
                <w:bCs/>
                <w:szCs w:val="21"/>
              </w:rPr>
              <w:t>严格依法办学，维护师生权益。</w:t>
            </w:r>
            <w:r>
              <w:rPr>
                <w:rFonts w:hint="eastAsia" w:ascii="宋体" w:hAnsi="宋体" w:cs="宋体"/>
                <w:szCs w:val="21"/>
              </w:rPr>
              <w:t>学校严格遵守《工会法》和《教师法》等法律规定，尊重和保障教职工的合法权益。学校党组织不断提高教师的政治觉悟，并把符合党员要求的教师积极吸收进党组织，保障教师的政治权益。学校按时足额发放绩效工资，缴纳各种公积金和保险金。学校切实关心教师的身心健康，开展丰富多彩的工会活动，营造和谐向上的教师工作氛围，增强教职工凝聚力和向心力，增加他们的职业幸福感。学校严格遵守《教师法》《教育法》《未成年人保护法》，依法办学，依法治校，保障学生权益。学校工会荣获武进区教育系统基层工会工作考核一等奖、武进区退教协会先进集体。学校于2017年上半年完成学校第二轮岗位竞聘，决策民主，过程公开公平公正，教职工满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rPr>
                <w:rFonts w:ascii="宋体"/>
                <w:b/>
                <w:sz w:val="24"/>
              </w:rPr>
            </w:pPr>
          </w:p>
        </w:tc>
      </w:tr>
    </w:tbl>
    <w:p>
      <w:pPr>
        <w:rPr>
          <w:rFonts w:ascii="宋体"/>
          <w:b/>
          <w:szCs w:val="21"/>
        </w:rPr>
      </w:pPr>
      <w:r>
        <w:rPr>
          <w:rFonts w:hint="eastAsia" w:ascii="宋体"/>
        </w:rPr>
        <w:t>注：必查材料为《学校章程》、校务公开制度、校务会议记录、教代会材料、理事会制度及活动记录。</w:t>
      </w:r>
    </w:p>
    <w:p>
      <w:pPr>
        <w:rPr>
          <w:rFonts w:ascii="宋体"/>
          <w:b/>
          <w:szCs w:val="21"/>
        </w:rPr>
      </w:pP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spacing w:line="330" w:lineRule="exact"/>
              <w:jc w:val="center"/>
              <w:rPr>
                <w:rFonts w:ascii="仿宋_GB2312" w:eastAsia="仿宋_GB2312"/>
                <w:color w:val="000000"/>
                <w:sz w:val="24"/>
              </w:rPr>
            </w:pPr>
            <w:r>
              <w:rPr>
                <w:rFonts w:hint="eastAsia" w:ascii="仿宋_GB2312" w:eastAsia="仿宋_GB2312"/>
                <w:color w:val="000000"/>
                <w:sz w:val="24"/>
              </w:rPr>
              <w:t>B4</w:t>
            </w:r>
          </w:p>
          <w:p>
            <w:pPr>
              <w:spacing w:line="330" w:lineRule="exact"/>
              <w:jc w:val="center"/>
              <w:rPr>
                <w:rFonts w:ascii="仿宋_GB2312" w:hAnsi="华文中宋" w:eastAsia="仿宋_GB2312"/>
                <w:color w:val="000000"/>
                <w:sz w:val="24"/>
              </w:rPr>
            </w:pPr>
            <w:r>
              <w:rPr>
                <w:rFonts w:hint="eastAsia" w:ascii="仿宋_GB2312" w:eastAsia="仿宋_GB2312"/>
                <w:color w:val="000000"/>
                <w:sz w:val="24"/>
              </w:rPr>
              <w:t>规章制度</w:t>
            </w:r>
          </w:p>
          <w:p>
            <w:pPr>
              <w:spacing w:line="340" w:lineRule="exact"/>
              <w:jc w:val="center"/>
              <w:rPr>
                <w:rFonts w:ascii="仿宋_GB2312" w:eastAsia="仿宋_GB2312"/>
                <w:color w:val="000000"/>
                <w:sz w:val="24"/>
              </w:rPr>
            </w:pPr>
            <w:r>
              <w:rPr>
                <w:rFonts w:hint="eastAsia" w:ascii="仿宋_GB2312" w:eastAsia="仿宋_GB2312"/>
                <w:color w:val="000000"/>
                <w:sz w:val="24"/>
              </w:rPr>
              <w:t>（12分）</w:t>
            </w:r>
          </w:p>
        </w:tc>
        <w:tc>
          <w:tcPr>
            <w:tcW w:w="6720" w:type="dxa"/>
            <w:vAlign w:val="center"/>
          </w:tcPr>
          <w:p>
            <w:pPr>
              <w:spacing w:line="318" w:lineRule="exact"/>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C4．制定以服务教学、服务学生为导向的岗位责任制度。全面落实教育部和省、市学校管理规范要求，现代学校制度基本建立，基本实现以网络平台为基础的管理手段现代化。（3分）</w:t>
            </w:r>
          </w:p>
          <w:p>
            <w:pPr>
              <w:spacing w:line="318" w:lineRule="exact"/>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C5．制定全员参与、全面考查的素质教育工作自评制度。认真履行《江苏省中小学校素质教育督导考核实施细则》规定的有关职责，形成有效的自主管理、民主监督、社会参与的管理机制。（3分）</w:t>
            </w:r>
          </w:p>
          <w:p>
            <w:pPr>
              <w:spacing w:line="318" w:lineRule="exact"/>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C6．建立科学有效的教育质量和学生综合素质评价机制。有基于校情制定的学生综合素质发展标准，并进行实施与评价，学校、家长及社会多方参与，做好学生成长记录。（3分）</w:t>
            </w:r>
          </w:p>
          <w:p>
            <w:pPr>
              <w:spacing w:line="318" w:lineRule="exact"/>
              <w:ind w:firstLine="480" w:firstLineChars="200"/>
              <w:rPr>
                <w:rFonts w:ascii="仿宋_GB2312" w:eastAsia="仿宋_GB2312"/>
                <w:color w:val="000000"/>
                <w:sz w:val="24"/>
              </w:rPr>
            </w:pPr>
            <w:r>
              <w:rPr>
                <w:rFonts w:hint="eastAsia" w:ascii="仿宋_GB2312" w:hAnsi="宋体" w:eastAsia="仿宋_GB2312" w:cs="仿宋_GB2312"/>
                <w:color w:val="000000"/>
                <w:sz w:val="24"/>
                <w:szCs w:val="24"/>
              </w:rPr>
              <w:t>C7．制定切实可行的学校安全管理和安全教育制度。安保体系健全，“人防、物防、技防、消防”四防到位，防治学生欺凌和暴力，有突发事件处置预案，经常开展安全教育和应急演练，及时发现并排除安全隐患，无重大安全责任事故发生。（3分）</w:t>
            </w:r>
          </w:p>
        </w:tc>
        <w:tc>
          <w:tcPr>
            <w:tcW w:w="1260" w:type="dxa"/>
            <w:vAlign w:val="center"/>
          </w:tcPr>
          <w:p>
            <w:pPr>
              <w:jc w:val="center"/>
              <w:rPr>
                <w:rFonts w:ascii="宋体"/>
              </w:rPr>
            </w:pPr>
            <w:r>
              <w:rPr>
                <w:rFonts w:hint="eastAsia" w:ascii="宋体"/>
              </w:rPr>
              <w:t>11.5分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spacing w:line="360" w:lineRule="exact"/>
              <w:ind w:firstLine="420" w:firstLineChars="200"/>
              <w:rPr>
                <w:rFonts w:ascii="宋体" w:hAnsi="宋体" w:cs="宋体"/>
                <w:szCs w:val="21"/>
              </w:rPr>
            </w:pPr>
            <w:r>
              <w:rPr>
                <w:rFonts w:hint="eastAsia" w:ascii="宋体" w:hAnsi="宋体" w:cs="宋体"/>
                <w:szCs w:val="21"/>
              </w:rPr>
              <w:t>学校高度重视制度建设，认真全面落实《江苏省中小学管理规范》，健全和完善了以服务教学，服务学生为导向的岗位责任制度等各项管理制度，明确岗位职责，搭建了以网络平台为基础的管理体系，实现了管理手段的现代化。</w:t>
            </w:r>
          </w:p>
          <w:p>
            <w:pPr>
              <w:spacing w:line="360" w:lineRule="exact"/>
              <w:ind w:firstLine="482" w:firstLineChars="200"/>
              <w:rPr>
                <w:rFonts w:ascii="宋体" w:hAnsi="宋体" w:cs="宋体"/>
                <w:szCs w:val="21"/>
              </w:rPr>
            </w:pPr>
            <w:r>
              <w:rPr>
                <w:rFonts w:hint="eastAsia" w:ascii="宋体" w:hAnsi="宋体" w:cs="宋体"/>
                <w:b/>
                <w:bCs/>
                <w:color w:val="000000"/>
                <w:sz w:val="24"/>
                <w:szCs w:val="24"/>
              </w:rPr>
              <w:t>C4：</w:t>
            </w:r>
            <w:r>
              <w:rPr>
                <w:rFonts w:hint="eastAsia" w:ascii="宋体" w:hAnsi="宋体" w:cs="宋体"/>
                <w:b/>
                <w:bCs/>
                <w:szCs w:val="21"/>
              </w:rPr>
              <w:t>学校各项规章制度健全，岗位职责明确。</w:t>
            </w:r>
            <w:r>
              <w:rPr>
                <w:rFonts w:hint="eastAsia" w:ascii="宋体" w:hAnsi="宋体" w:cs="宋体"/>
                <w:szCs w:val="21"/>
              </w:rPr>
              <w:t>学校积极探索现代学校管理制度，重新修订了《洛阳高级中学章程》，完善了各项规章制度和各类人员岗位职责，使各项工作都有章可循。学校进一步健全条块结合、重心下移的“扁平式”工作机制，使各部门各层面职责明确、分工负责，上下衔接、相互协作。学校制定《洛阳高级中学岗位设置实施方案》，坚持按需设岗、平等竞争、择优录用原则，实行全员聘用制和岗位责任制。学校在全区较早实行中层干部竞聘上岗和教职工绩效工资考核办法，并在实践中不断完善，有效激发了干部、教职工的工作积极性。学校制定《洛阳高级中学学生一日常规》等学生管理制度，着眼于培养学生自我教育、自主管理的能力，引领学生自主发展。</w:t>
            </w:r>
          </w:p>
          <w:p>
            <w:pPr>
              <w:spacing w:line="360" w:lineRule="exact"/>
              <w:ind w:firstLine="422" w:firstLineChars="200"/>
              <w:rPr>
                <w:rFonts w:ascii="宋体" w:hAnsi="宋体" w:cs="宋体"/>
                <w:szCs w:val="21"/>
              </w:rPr>
            </w:pPr>
            <w:r>
              <w:rPr>
                <w:rFonts w:hint="eastAsia" w:ascii="宋体" w:hAnsi="宋体" w:cs="宋体"/>
                <w:b/>
                <w:bCs/>
                <w:szCs w:val="21"/>
              </w:rPr>
              <w:t>完善信息管理体系，实现网络管理手段现代化。</w:t>
            </w:r>
            <w:r>
              <w:rPr>
                <w:rFonts w:hint="eastAsia" w:ascii="宋体" w:hAnsi="宋体" w:cs="宋体"/>
                <w:szCs w:val="21"/>
              </w:rPr>
              <w:t>学校在追求规范化管理的同时，积极探索信息化管理的新途径，着力建构信息化、学习化、数字化校园。学校建有中心机房、录播一体多功能录播教室，江苏省一级图书馆、江苏省三级档案室、校园安保系统。学校校园网设有学校主页、部门主页、资源库、专题网站等栏目，资源丰富，设置齐全，主页新闻及时更新，各部门及时发布条线工作动态，实现学校信息传递的零距离。校园网主页开设校长信箱，及时整理和回复，加强与社会各界的交流，提高民主化管理的效率。学校拥有多种数字化管理平台,涵盖了日常办公、学生管理、教务管理、成绩管理、后勤管理等重要管理项目，全面实行信息化管理。</w:t>
            </w:r>
          </w:p>
          <w:p>
            <w:pPr>
              <w:spacing w:line="360" w:lineRule="exact"/>
              <w:ind w:firstLine="482" w:firstLineChars="200"/>
              <w:rPr>
                <w:rFonts w:ascii="宋体" w:hAnsi="宋体" w:cs="宋体"/>
                <w:color w:val="000000"/>
                <w:szCs w:val="21"/>
              </w:rPr>
            </w:pPr>
            <w:r>
              <w:rPr>
                <w:rFonts w:hint="eastAsia" w:ascii="宋体" w:hAnsi="宋体" w:cs="宋体"/>
                <w:b/>
                <w:bCs/>
                <w:sz w:val="24"/>
                <w:szCs w:val="21"/>
              </w:rPr>
              <w:t>C5：</w:t>
            </w:r>
            <w:r>
              <w:rPr>
                <w:rFonts w:hint="eastAsia" w:ascii="宋体" w:hAnsi="宋体" w:cs="宋体"/>
                <w:color w:val="000000"/>
                <w:szCs w:val="21"/>
              </w:rPr>
              <w:t>学校制定了全员参与、全面考查的素质教育工作自评制度，认真履行《江苏省中小学校素质教育督导考核实施细则》规定的有关职责，形成有效的自主管理、民主监督、社会参与的管理机制。学校撰写素质教育自评报告，并经教代会审议，根据自评发现的问题，积极自我整改。</w:t>
            </w:r>
          </w:p>
          <w:p>
            <w:pPr>
              <w:spacing w:line="360" w:lineRule="exact"/>
              <w:ind w:firstLine="422" w:firstLineChars="200"/>
              <w:rPr>
                <w:rFonts w:ascii="宋体" w:hAnsi="宋体" w:cs="宋体"/>
                <w:szCs w:val="21"/>
              </w:rPr>
            </w:pPr>
            <w:r>
              <w:rPr>
                <w:rFonts w:hint="eastAsia" w:ascii="宋体" w:hAnsi="宋体" w:cs="宋体"/>
                <w:b/>
                <w:bCs/>
                <w:color w:val="000000"/>
                <w:szCs w:val="21"/>
              </w:rPr>
              <w:t>自主管理。</w:t>
            </w:r>
            <w:r>
              <w:rPr>
                <w:rFonts w:hint="eastAsia" w:ascii="宋体" w:hAnsi="宋体" w:cs="宋体"/>
                <w:color w:val="000000"/>
                <w:szCs w:val="21"/>
              </w:rPr>
              <w:t>学校坚</w:t>
            </w:r>
            <w:r>
              <w:rPr>
                <w:rFonts w:hint="eastAsia" w:ascii="宋体" w:hAnsi="宋体" w:cs="宋体"/>
                <w:szCs w:val="21"/>
              </w:rPr>
              <w:t>持依法办学、以人为本，根据教育改革发展的新形势新要求，依据有关法律法规和教育政策，结合本校教育教学和师生发展实际，重新修订了《洛阳高级中学章程》，对各项管理制度进行与时俱进的完善，进一步健全条块结合、重心下移的“扁平式”工作机制。进一步优化目标管理和过程管理，形成科学目标引领、精细过程督导、业绩考评激励的管理模式。通过传承和创新，构建起自主发展、规范精细、顺畅高效的管理机制。</w:t>
            </w:r>
          </w:p>
          <w:p>
            <w:pPr>
              <w:spacing w:line="360" w:lineRule="exact"/>
              <w:ind w:firstLine="422" w:firstLineChars="200"/>
              <w:rPr>
                <w:rFonts w:ascii="宋体" w:hAnsi="宋体" w:cs="宋体"/>
                <w:szCs w:val="21"/>
              </w:rPr>
            </w:pPr>
            <w:r>
              <w:rPr>
                <w:rFonts w:hint="eastAsia" w:ascii="宋体" w:hAnsi="宋体" w:cs="宋体"/>
                <w:b/>
                <w:bCs/>
                <w:szCs w:val="21"/>
              </w:rPr>
              <w:t>民主监督</w:t>
            </w:r>
            <w:r>
              <w:rPr>
                <w:rFonts w:hint="eastAsia" w:ascii="宋体" w:hAnsi="宋体" w:cs="宋体"/>
                <w:szCs w:val="21"/>
              </w:rPr>
              <w:t>。学校进一步完善校长负责制、党支部保证监督制度、教职工代表大会制度，坚持重大事项民主决策的原则，完善民主与集中相统一的决策机制。依法明确学校决策机构的组成、职权和议事规则，避免个人专断。凡是有关学校发展方向、基本建设、重大教育教学改革和师生切身利益的重大决策、重大项目等决策事项，都按照有关规定，进行合法性、合理性、可行性和可控性评估，建立完善职能部门论证、邀请专家咨询、听取教师意见、专业机构或者主管部门测评相结合的风险评估机制。结合教育局责任督学的日常教育督导，诊断问题，听取意见和建议，</w:t>
            </w:r>
          </w:p>
          <w:p>
            <w:pPr>
              <w:spacing w:line="360" w:lineRule="exact"/>
              <w:ind w:firstLine="422" w:firstLineChars="200"/>
              <w:rPr>
                <w:rFonts w:ascii="宋体" w:hAnsi="宋体" w:cs="宋体"/>
                <w:szCs w:val="21"/>
              </w:rPr>
            </w:pPr>
            <w:r>
              <w:rPr>
                <w:rFonts w:hint="eastAsia" w:ascii="宋体" w:hAnsi="宋体" w:cs="宋体"/>
                <w:b/>
                <w:bCs/>
                <w:szCs w:val="21"/>
              </w:rPr>
              <w:t>社会参与。</w:t>
            </w:r>
            <w:r>
              <w:rPr>
                <w:rFonts w:hint="eastAsia" w:ascii="宋体" w:hAnsi="宋体" w:cs="宋体"/>
                <w:szCs w:val="21"/>
              </w:rPr>
              <w:t>学校自觉接受家长与社会各界的监督，听取社会各界对学校工作的意见和建议。学校进一步完善了家长委员会制度、家长接待日制度，切实保障广大家长对学校管理和教育教学的知情权、监督权。通过“江苏和教育”平台、学校校园网、电话信函、微信平台、各班级家长QQ群、微信群等，向家长发布学生在校情况、家庭教育建议等，使学校与家庭、社会的沟通更具实时性、双向性。定期举行“学生评教师”“家长评学校”活动，主动接受学生、家长的监督，学校对学生和家长提出的建议进行认真分析和整改。建立走出去、请进来的学校与社区合作机制，广泛动员社会各界参与学校的管理和建设。</w:t>
            </w:r>
          </w:p>
          <w:p>
            <w:pPr>
              <w:spacing w:line="360" w:lineRule="exact"/>
              <w:ind w:firstLine="482" w:firstLineChars="200"/>
              <w:rPr>
                <w:rFonts w:ascii="仿宋_GB2312" w:eastAsia="仿宋_GB2312"/>
                <w:color w:val="000000"/>
                <w:sz w:val="24"/>
              </w:rPr>
            </w:pPr>
            <w:r>
              <w:rPr>
                <w:rFonts w:ascii="仿宋_GB2312" w:eastAsia="仿宋_GB2312"/>
                <w:b/>
                <w:bCs/>
                <w:color w:val="000000"/>
                <w:sz w:val="24"/>
                <w:szCs w:val="21"/>
              </w:rPr>
              <w:t>C6</w:t>
            </w:r>
            <w:r>
              <w:rPr>
                <w:rFonts w:hint="eastAsia" w:ascii="仿宋_GB2312" w:eastAsia="仿宋_GB2312"/>
                <w:b/>
                <w:bCs/>
                <w:color w:val="000000"/>
                <w:sz w:val="24"/>
                <w:szCs w:val="21"/>
              </w:rPr>
              <w:t>：</w:t>
            </w:r>
            <w:r>
              <w:rPr>
                <w:rFonts w:hint="eastAsia"/>
                <w:szCs w:val="21"/>
              </w:rPr>
              <w:t>为认真贯彻国家的教育方针，全面实施素质教育，学校根据《江苏省普通高中学生综合素质评价方案》，全面实施学生综合素质评价工作，建立科学有效的教育质量和学生综合素质评价机制，根据校情制定学生综合素质发展标准，并在教育教学实践中由家长和社会多方参与实施和评价，使评价的过程成为促进学生发展的过程，成为学校教育发展的提高过程，从而有效地促进学校的素质教育。</w:t>
            </w:r>
          </w:p>
          <w:p>
            <w:pPr>
              <w:spacing w:line="360" w:lineRule="exact"/>
              <w:ind w:firstLine="422" w:firstLineChars="200"/>
              <w:rPr>
                <w:rFonts w:ascii="宋体" w:hAnsi="宋体"/>
                <w:szCs w:val="21"/>
              </w:rPr>
            </w:pPr>
            <w:r>
              <w:rPr>
                <w:rFonts w:hint="eastAsia"/>
                <w:b/>
                <w:bCs/>
                <w:szCs w:val="21"/>
              </w:rPr>
              <w:t>建立科学有效的教育质量和学生综合素质评价机制。</w:t>
            </w:r>
            <w:r>
              <w:rPr>
                <w:rFonts w:hint="eastAsia" w:ascii="宋体" w:hAnsi="宋体"/>
                <w:szCs w:val="21"/>
              </w:rPr>
              <w:t>学校建立了以校长为首，由分管副校长领衔，教研处、政教处具体负责，年级组、教研组、班主任广泛参与的三项发展性评价制度改革组织机构。多年来，随着教育教学改革的不断深入，依据校情、师情、生情的不断变化，学校在教育教学的实践中不断探索总结，通过科研引领、教改试点、逐步铺开等方式，不断修订和完善评价制度，并日趋成熟。学校广泛听取广大教师和学生以及家长的意见和建议，通过师生座谈、家长访谈、教代会民主评议等方式，力求做到评价的科学性、公平性、全面性和开放性。学校已经初步形成了切合实际、操作性强的评价机制。</w:t>
            </w:r>
          </w:p>
          <w:p>
            <w:pPr>
              <w:spacing w:line="360" w:lineRule="exact"/>
              <w:ind w:firstLine="422" w:firstLineChars="200"/>
              <w:rPr>
                <w:rFonts w:ascii="宋体" w:hAnsi="宋体"/>
                <w:szCs w:val="21"/>
              </w:rPr>
            </w:pPr>
            <w:r>
              <w:rPr>
                <w:rFonts w:hint="eastAsia"/>
                <w:b/>
                <w:bCs/>
                <w:szCs w:val="21"/>
              </w:rPr>
              <w:t>根据校情制定学生综合素质发展标准，并在教育教学中由家长和社会多方参与实施和评价。</w:t>
            </w:r>
            <w:r>
              <w:rPr>
                <w:rFonts w:hint="eastAsia"/>
                <w:szCs w:val="21"/>
              </w:rPr>
              <w:t>为促进学生素质的全面发展，我们根据学校的实际情况，</w:t>
            </w:r>
            <w:r>
              <w:rPr>
                <w:rFonts w:hint="eastAsia" w:ascii="宋体" w:hAnsi="宋体"/>
                <w:szCs w:val="21"/>
              </w:rPr>
              <w:t>以“引导发展，注重个性”为基本思路，建立起注重突出评价主体的多元性、评价内容的综合性、评价行为的过程性的学生评价体系，确立了学生在评价中的主体地位，使学生成为能动的、积极的评价参与者；使评价的过程成为学生发展自主评价能力、促进学习进步的过程，重视综合素质评价，促进学生终身发展。学校制定</w:t>
            </w:r>
            <w:r>
              <w:rPr>
                <w:rFonts w:hint="eastAsia"/>
                <w:szCs w:val="21"/>
              </w:rPr>
              <w:t>《洛阳高级中学学生综合素质评价方案》</w:t>
            </w:r>
            <w:r>
              <w:rPr>
                <w:rFonts w:hint="eastAsia" w:ascii="宋体" w:hAnsi="宋体"/>
                <w:szCs w:val="21"/>
              </w:rPr>
              <w:t>《洛阳高级中学学生综合素质评价实施细则》《洛阳高级中学学分认定方案》《洛阳高级中学学生评优办法》《洛阳高级中学关于评定学生操行等第的意见》等方案，努力促进学生进步和发展。对学生的评价，学校建立学生成长记录手册，实行学生学业成绩和成长记录相结合的评价方式。评价内容拓展为道德品质、公民素养、学习能力、合作交流、运动与健康、审美与表现等六个方面；评价主体也由过去习惯以教师为主的单一评价，变革为学生自评和同学互评、班主任评价、科任教师评价、家长认可相结合的多元评价。实行学分制管理，学校根据课程方案的学分要求，严格学分认定的标准、程序，规范操作过程。学校还制定各类学生评优评先制度和办法，以及学生在校日常行为的管理规范和考评细则等。班主任给学生的评语也以对话体格式书写，以成长中的事例和数据进行评价，以鼓励为主，评亮点，夸优点，找成功点，培养学生自信心，使学生树立健康良好的心态。</w:t>
            </w:r>
          </w:p>
          <w:p>
            <w:pPr>
              <w:spacing w:line="360" w:lineRule="exact"/>
              <w:ind w:firstLine="420" w:firstLineChars="200"/>
              <w:rPr>
                <w:szCs w:val="21"/>
              </w:rPr>
            </w:pPr>
            <w:r>
              <w:rPr>
                <w:rFonts w:hint="eastAsia"/>
                <w:szCs w:val="21"/>
              </w:rPr>
              <w:t>在评价过程中，学校注重与家长、社会多方结合。学校成立家长委员会，利用学校、家庭和社会三结合教育的有效途径，形成教育合力，通过家长代表座谈会、家长会，加强家校联系。班主任注重家访工作，建立班级家长</w:t>
            </w:r>
            <w:r>
              <w:rPr>
                <w:szCs w:val="21"/>
              </w:rPr>
              <w:t>QQ</w:t>
            </w:r>
            <w:r>
              <w:rPr>
                <w:rFonts w:hint="eastAsia"/>
                <w:szCs w:val="21"/>
              </w:rPr>
              <w:t>群﹑微信群，利用和教育网络平台及时反馈班级建设成果与学生表现，与家长沟通协调，听取家长意见，形成老师与家长的共同评价。</w:t>
            </w:r>
          </w:p>
          <w:p>
            <w:pPr>
              <w:spacing w:line="360" w:lineRule="exact"/>
              <w:ind w:firstLine="422" w:firstLineChars="200"/>
              <w:rPr>
                <w:szCs w:val="21"/>
              </w:rPr>
            </w:pPr>
            <w:r>
              <w:rPr>
                <w:rFonts w:hint="eastAsia"/>
                <w:b/>
                <w:bCs/>
                <w:szCs w:val="21"/>
              </w:rPr>
              <w:t>学校注重做好学生成长记录。</w:t>
            </w:r>
            <w:r>
              <w:rPr>
                <w:rFonts w:hint="eastAsia"/>
                <w:szCs w:val="21"/>
              </w:rPr>
              <w:t>学校为每个学生发放成长记录手册，并在新生入学教育时即对学生明确成长记录袋册的意义、使用途径和方法。学生在校三年时间中，利用成长记录手册记录点点滴滴，包括学习表现、学业状况、思想行为表现、公民素质发展、体质健康状况、成长活动情况和一系列的奖惩事项，形成</w:t>
            </w:r>
            <w:r>
              <w:rPr>
                <w:szCs w:val="21"/>
              </w:rPr>
              <w:t>“</w:t>
            </w:r>
            <w:r>
              <w:rPr>
                <w:rFonts w:hint="eastAsia"/>
                <w:szCs w:val="21"/>
              </w:rPr>
              <w:t>成长足迹</w:t>
            </w:r>
            <w:r>
              <w:rPr>
                <w:szCs w:val="21"/>
              </w:rPr>
              <w:t>”</w:t>
            </w:r>
            <w:r>
              <w:rPr>
                <w:rFonts w:hint="eastAsia"/>
                <w:szCs w:val="21"/>
              </w:rPr>
              <w:t>，起到了明确目标、寻找差距、激励信心的良好作用。通过成长记录手册，实现了学生长期、中期、短期自主规划发展，强化了学生的自我发展意识，并为综合评价提供了依据，同时把学校、同伴、家长、社会多方评价结合，形成了完整的评价体系。</w:t>
            </w:r>
          </w:p>
          <w:p>
            <w:pPr>
              <w:spacing w:line="360" w:lineRule="exact"/>
              <w:ind w:firstLine="482" w:firstLineChars="200"/>
              <w:rPr>
                <w:rFonts w:ascii="宋体" w:hAnsi="宋体" w:cs="宋体"/>
                <w:color w:val="000000"/>
                <w:szCs w:val="21"/>
              </w:rPr>
            </w:pPr>
            <w:r>
              <w:rPr>
                <w:rFonts w:hint="eastAsia" w:ascii="宋体" w:hAnsi="宋体" w:cs="宋体"/>
                <w:b/>
                <w:bCs/>
                <w:color w:val="000000"/>
                <w:sz w:val="24"/>
                <w:szCs w:val="21"/>
              </w:rPr>
              <w:t>C7：</w:t>
            </w:r>
            <w:r>
              <w:rPr>
                <w:rFonts w:hint="eastAsia" w:ascii="宋体" w:hAnsi="宋体" w:cs="宋体"/>
                <w:color w:val="000000"/>
                <w:szCs w:val="21"/>
              </w:rPr>
              <w:t>学校制定切实可行的学校安全管理和安全教育制度。安保体系健全，“人防、物防、技防、消防”四防到位，防治学生欺凌和暴力，有突发事件处置预案，经常开展安全教育和应急演练，及时发现并排除安全隐患，无重大安全责任事故发生。</w:t>
            </w:r>
          </w:p>
          <w:p>
            <w:pPr>
              <w:autoSpaceDE w:val="0"/>
              <w:autoSpaceDN w:val="0"/>
              <w:adjustRightInd w:val="0"/>
              <w:spacing w:line="360" w:lineRule="exact"/>
              <w:ind w:firstLine="422" w:firstLineChars="200"/>
              <w:jc w:val="left"/>
              <w:rPr>
                <w:rFonts w:ascii="宋体" w:hAnsi="宋体" w:cs="宋体"/>
                <w:bCs/>
                <w:kern w:val="0"/>
                <w:szCs w:val="21"/>
              </w:rPr>
            </w:pPr>
            <w:r>
              <w:rPr>
                <w:rFonts w:hint="eastAsia" w:ascii="宋体" w:hAnsi="宋体" w:cs="宋体"/>
                <w:b/>
                <w:szCs w:val="21"/>
              </w:rPr>
              <w:t>安全</w:t>
            </w:r>
            <w:r>
              <w:rPr>
                <w:rFonts w:ascii="宋体" w:hAnsi="宋体" w:cs="宋体"/>
                <w:b/>
                <w:szCs w:val="21"/>
              </w:rPr>
              <w:t>管理、安全教育制度健全。</w:t>
            </w:r>
            <w:r>
              <w:rPr>
                <w:rFonts w:hint="eastAsia" w:ascii="宋体" w:hAnsi="宋体" w:cs="宋体"/>
                <w:szCs w:val="21"/>
              </w:rPr>
              <w:t>学校因校制宜制定了一系列切实可行的安全、卫生管理制度：《</w:t>
            </w:r>
            <w:r>
              <w:rPr>
                <w:rFonts w:hint="eastAsia" w:ascii="宋体" w:hAnsi="宋体" w:cs="宋体"/>
                <w:bCs/>
                <w:kern w:val="36"/>
                <w:szCs w:val="21"/>
              </w:rPr>
              <w:t>洛阳高级中学安全工作管理制度</w:t>
            </w:r>
            <w:r>
              <w:rPr>
                <w:rFonts w:hint="eastAsia" w:ascii="宋体" w:hAnsi="宋体" w:cs="宋体"/>
                <w:szCs w:val="21"/>
              </w:rPr>
              <w:t>》</w:t>
            </w:r>
            <w:r>
              <w:rPr>
                <w:rFonts w:hint="eastAsia" w:ascii="宋体" w:hAnsi="宋体" w:cs="宋体"/>
                <w:bCs/>
                <w:kern w:val="36"/>
                <w:szCs w:val="21"/>
              </w:rPr>
              <w:t>包含有警务室工作人员</w:t>
            </w:r>
            <w:r>
              <w:rPr>
                <w:rFonts w:hint="eastAsia" w:ascii="宋体" w:hAnsi="宋体" w:cs="宋体"/>
                <w:bCs/>
                <w:szCs w:val="21"/>
              </w:rPr>
              <w:t>岗位职责、</w:t>
            </w:r>
            <w:r>
              <w:rPr>
                <w:rFonts w:hint="eastAsia" w:ascii="宋体" w:hAnsi="宋体" w:cs="宋体"/>
                <w:szCs w:val="21"/>
              </w:rPr>
              <w:t>汽车使用与管理办法、学校校产管理制度</w:t>
            </w:r>
            <w:r>
              <w:rPr>
                <w:rFonts w:hint="eastAsia" w:ascii="宋体" w:hAnsi="宋体" w:cs="宋体"/>
                <w:bCs/>
                <w:szCs w:val="21"/>
              </w:rPr>
              <w:t>、</w:t>
            </w:r>
            <w:r>
              <w:rPr>
                <w:rFonts w:hint="eastAsia" w:ascii="宋体" w:hAnsi="宋体" w:cs="宋体"/>
                <w:bCs/>
                <w:kern w:val="0"/>
                <w:szCs w:val="21"/>
              </w:rPr>
              <w:t>物资保管、用水用电、电脑电视广播室安全管理制度、教务教学安全管理制度、学生校园生活安全管理制度、学校</w:t>
            </w:r>
            <w:r>
              <w:rPr>
                <w:rFonts w:hint="eastAsia" w:ascii="宋体" w:hAnsi="宋体" w:cs="宋体"/>
                <w:bCs/>
                <w:kern w:val="44"/>
                <w:szCs w:val="21"/>
              </w:rPr>
              <w:t>临时用工安全管理制度</w:t>
            </w:r>
            <w:r>
              <w:rPr>
                <w:rFonts w:hint="eastAsia" w:ascii="宋体" w:hAnsi="宋体" w:cs="宋体"/>
                <w:szCs w:val="21"/>
              </w:rPr>
              <w:t>、食品卫生监督管理制度、食堂安全管理制度、食品卫生安全管理人员制度、食堂食品采购验收制度、校园超市安全管理、浴室管理制度、</w:t>
            </w:r>
            <w:r>
              <w:rPr>
                <w:rFonts w:hint="eastAsia" w:ascii="宋体" w:hAnsi="宋体" w:cs="宋体"/>
                <w:bCs/>
                <w:szCs w:val="21"/>
              </w:rPr>
              <w:t>学生宿舍安全管理规范、</w:t>
            </w:r>
            <w:r>
              <w:rPr>
                <w:rFonts w:hint="eastAsia" w:ascii="宋体" w:hAnsi="宋体" w:cs="宋体"/>
                <w:szCs w:val="21"/>
              </w:rPr>
              <w:t>舍务人员岗位职责、医务室工作人员岗位职责、传染病防控管理制度、学校消防安全管理制度、突发公共事件应急预案等各级各类安全卫生制度。在日常教育教学管理中、师生生活学习中，严格执行相关的安全卫生制度，并强化考核机制，与绩效管理考核挂钩，取得了理想的效果，确保了校园的长治久安。</w:t>
            </w:r>
          </w:p>
          <w:p>
            <w:pPr>
              <w:spacing w:line="360" w:lineRule="exact"/>
              <w:ind w:firstLine="422" w:firstLineChars="200"/>
              <w:rPr>
                <w:rFonts w:ascii="宋体" w:hAnsi="宋体" w:cs="宋体"/>
                <w:bCs/>
                <w:kern w:val="0"/>
                <w:szCs w:val="21"/>
              </w:rPr>
            </w:pPr>
            <w:r>
              <w:rPr>
                <w:rFonts w:hint="eastAsia" w:ascii="宋体" w:hAnsi="宋体" w:cs="宋体"/>
                <w:b/>
                <w:szCs w:val="21"/>
              </w:rPr>
              <w:t>“四防”体系健全。</w:t>
            </w:r>
            <w:r>
              <w:rPr>
                <w:rFonts w:hint="eastAsia" w:ascii="宋体" w:hAnsi="宋体" w:cs="宋体"/>
                <w:szCs w:val="21"/>
              </w:rPr>
              <w:t>学校设有完整的安全管理机构和网络，设有安全管理领导小组，校长任管理机构领导小组组长，对学校安全工作负总责；三位副校长任副组长，具体负责各条线的安全工作。根据上级有关文件精神，确保落实“一岗双责”有关要求，学校每年与每个岗位的教职员工层层签订一岗双责安全责任书。学校根据有关文件共配备了4名有保安资质的保安队员，每天配置1名值日校长、3名行政值班人员和3名教师值班人员参与安全管理。学校门口</w:t>
            </w:r>
            <w:r>
              <w:rPr>
                <w:rFonts w:ascii="宋体" w:hAnsi="宋体" w:cs="宋体"/>
                <w:szCs w:val="21"/>
              </w:rPr>
              <w:t>设有防</w:t>
            </w:r>
            <w:r>
              <w:rPr>
                <w:rFonts w:hint="eastAsia" w:ascii="宋体" w:hAnsi="宋体" w:cs="宋体"/>
                <w:szCs w:val="21"/>
              </w:rPr>
              <w:t>重装</w:t>
            </w:r>
            <w:r>
              <w:rPr>
                <w:rFonts w:ascii="宋体" w:hAnsi="宋体" w:cs="宋体"/>
                <w:szCs w:val="21"/>
              </w:rPr>
              <w:t>石球、护栏，</w:t>
            </w:r>
            <w:r>
              <w:rPr>
                <w:rFonts w:hint="eastAsia" w:ascii="宋体" w:hAnsi="宋体" w:cs="宋体"/>
                <w:szCs w:val="21"/>
              </w:rPr>
              <w:t>门卫装有与110联动的一键式报警装置和视频监控系统，各种安全保障器械齐全，配有钢叉、警棍、盾牌、头盔、辣椒水等；校门外有斑马线和高清探头，校园内设有减速带。学校在</w:t>
            </w:r>
            <w:r>
              <w:rPr>
                <w:rFonts w:ascii="宋体" w:hAnsi="宋体" w:cs="宋体"/>
                <w:szCs w:val="21"/>
              </w:rPr>
              <w:t>部分重要区域装有监控探头</w:t>
            </w:r>
            <w:r>
              <w:rPr>
                <w:rFonts w:hint="eastAsia" w:ascii="宋体" w:hAnsi="宋体" w:cs="宋体"/>
                <w:szCs w:val="21"/>
              </w:rPr>
              <w:t>。学校</w:t>
            </w:r>
            <w:r>
              <w:rPr>
                <w:rFonts w:ascii="宋体" w:hAnsi="宋体" w:cs="宋体"/>
                <w:szCs w:val="21"/>
              </w:rPr>
              <w:t>消防设备设施齐全，</w:t>
            </w:r>
            <w:r>
              <w:rPr>
                <w:rFonts w:hint="eastAsia" w:ascii="宋体" w:hAnsi="宋体" w:cs="宋体"/>
                <w:szCs w:val="21"/>
              </w:rPr>
              <w:t>并</w:t>
            </w:r>
            <w:r>
              <w:rPr>
                <w:rFonts w:ascii="宋体" w:hAnsi="宋体" w:cs="宋体"/>
                <w:szCs w:val="21"/>
              </w:rPr>
              <w:t>配备微型消防站两处。</w:t>
            </w:r>
          </w:p>
          <w:p>
            <w:pPr>
              <w:spacing w:line="360" w:lineRule="exact"/>
              <w:ind w:firstLine="521" w:firstLineChars="247"/>
              <w:rPr>
                <w:rFonts w:ascii="宋体"/>
                <w:b/>
                <w:sz w:val="24"/>
              </w:rPr>
            </w:pPr>
            <w:r>
              <w:rPr>
                <w:rFonts w:hint="eastAsia" w:ascii="宋体" w:hAnsi="宋体" w:cs="宋体"/>
                <w:b/>
                <w:szCs w:val="21"/>
              </w:rPr>
              <w:t>平安</w:t>
            </w:r>
            <w:r>
              <w:rPr>
                <w:rFonts w:ascii="宋体" w:hAnsi="宋体" w:cs="宋体"/>
                <w:b/>
                <w:szCs w:val="21"/>
              </w:rPr>
              <w:t>校园。</w:t>
            </w:r>
            <w:r>
              <w:rPr>
                <w:rFonts w:hint="eastAsia" w:ascii="宋体" w:hAnsi="宋体" w:cs="宋体"/>
                <w:szCs w:val="21"/>
              </w:rPr>
              <w:t>学校制订了各级各类应急预案，如突发公共事件应急预案，火灾、地震、台风、雷电、交通事故、暴力侵害、大型活动、食物中毒事件、传染病预防等各级各类应急预案。学校定期</w:t>
            </w:r>
            <w:r>
              <w:rPr>
                <w:rFonts w:ascii="宋体" w:hAnsi="宋体" w:cs="宋体"/>
                <w:szCs w:val="21"/>
              </w:rPr>
              <w:t>开展</w:t>
            </w:r>
            <w:r>
              <w:rPr>
                <w:rFonts w:hint="eastAsia" w:ascii="宋体" w:hAnsi="宋体" w:cs="宋体"/>
                <w:szCs w:val="21"/>
              </w:rPr>
              <w:t>专项</w:t>
            </w:r>
            <w:r>
              <w:rPr>
                <w:rFonts w:ascii="宋体" w:hAnsi="宋体" w:cs="宋体"/>
                <w:szCs w:val="21"/>
              </w:rPr>
              <w:t>整治活动防范学生欺凌和校园暴力</w:t>
            </w:r>
            <w:r>
              <w:rPr>
                <w:rFonts w:hint="eastAsia" w:ascii="宋体" w:hAnsi="宋体" w:cs="宋体"/>
                <w:szCs w:val="21"/>
              </w:rPr>
              <w:t>，每学期进行多种演练活动，如火灾逃生演练、抗震逃生演练、防暴反恐演练等活动。学校</w:t>
            </w:r>
            <w:r>
              <w:rPr>
                <w:rFonts w:ascii="宋体" w:hAnsi="宋体" w:cs="宋体"/>
                <w:szCs w:val="21"/>
              </w:rPr>
              <w:t>还</w:t>
            </w:r>
            <w:r>
              <w:rPr>
                <w:rFonts w:hint="eastAsia" w:ascii="宋体" w:hAnsi="宋体" w:cs="宋体"/>
                <w:szCs w:val="21"/>
              </w:rPr>
              <w:t>经常结合学生会议、教师会议、国旗下讲话、班会活动、黑板报、橱窗展览等开展安全教育，提升了师生的安全防护意识，切实提高了安全保护能力。学校组织</w:t>
            </w:r>
            <w:r>
              <w:rPr>
                <w:rFonts w:ascii="宋体" w:hAnsi="宋体" w:cs="宋体"/>
                <w:szCs w:val="21"/>
              </w:rPr>
              <w:t>人员</w:t>
            </w:r>
            <w:r>
              <w:rPr>
                <w:rFonts w:hint="eastAsia" w:ascii="宋体" w:hAnsi="宋体" w:cs="宋体"/>
                <w:szCs w:val="21"/>
              </w:rPr>
              <w:t>每月对</w:t>
            </w:r>
            <w:r>
              <w:rPr>
                <w:rFonts w:ascii="宋体" w:hAnsi="宋体" w:cs="宋体"/>
                <w:szCs w:val="21"/>
              </w:rPr>
              <w:t>各处设施设备</w:t>
            </w:r>
            <w:r>
              <w:rPr>
                <w:rFonts w:hint="eastAsia" w:ascii="宋体" w:hAnsi="宋体" w:cs="宋体"/>
                <w:szCs w:val="21"/>
              </w:rPr>
              <w:t>进行一次全面</w:t>
            </w:r>
            <w:r>
              <w:rPr>
                <w:rFonts w:ascii="宋体" w:hAnsi="宋体" w:cs="宋体"/>
                <w:szCs w:val="21"/>
              </w:rPr>
              <w:t>的</w:t>
            </w:r>
            <w:r>
              <w:rPr>
                <w:rFonts w:hint="eastAsia" w:ascii="宋体" w:hAnsi="宋体" w:cs="宋体"/>
                <w:szCs w:val="21"/>
              </w:rPr>
              <w:t>安全检查，及时发现和处理安全隐患。近年来，学校未发生任何一起重大安全责任事故，被评为江苏省平安校园。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rPr>
                <w:rFonts w:ascii="宋体"/>
                <w:szCs w:val="21"/>
              </w:rPr>
            </w:pPr>
            <w:r>
              <w:rPr>
                <w:rFonts w:hint="eastAsia" w:ascii="宋体"/>
                <w:szCs w:val="21"/>
              </w:rPr>
              <w:t>学校技防设施数量不足，扣0.5分。</w:t>
            </w:r>
          </w:p>
        </w:tc>
      </w:tr>
    </w:tbl>
    <w:p>
      <w:pPr>
        <w:rPr>
          <w:rFonts w:ascii="宋体"/>
        </w:rPr>
      </w:pPr>
      <w:r>
        <w:rPr>
          <w:rFonts w:hint="eastAsia" w:ascii="宋体"/>
        </w:rPr>
        <w:t>注：必查材料为学校规章制度、近三学年度素质教育自查报告、学生综合素质评价记录表及成长记录袋（抽样）、校园安全突发事件处置预案。</w:t>
      </w:r>
    </w:p>
    <w:p>
      <w:pPr>
        <w:rPr>
          <w:rFonts w:ascii="宋体"/>
          <w:b/>
          <w:szCs w:val="21"/>
        </w:rPr>
      </w:pP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spacing w:line="260" w:lineRule="exact"/>
              <w:rPr>
                <w:rFonts w:ascii="仿宋_GB2312" w:hAnsi="宋体" w:eastAsia="仿宋_GB2312"/>
                <w:color w:val="000000"/>
                <w:sz w:val="24"/>
                <w:szCs w:val="24"/>
              </w:rPr>
            </w:pPr>
            <w:r>
              <w:rPr>
                <w:rFonts w:hint="eastAsia" w:ascii="仿宋_GB2312" w:hAnsi="宋体" w:eastAsia="仿宋_GB2312" w:cs="仿宋_GB2312"/>
                <w:color w:val="000000"/>
                <w:sz w:val="24"/>
                <w:szCs w:val="24"/>
              </w:rPr>
              <w:t>B5．</w:t>
            </w:r>
          </w:p>
          <w:p>
            <w:pPr>
              <w:spacing w:line="34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经费投入</w:t>
            </w:r>
          </w:p>
          <w:p>
            <w:pPr>
              <w:spacing w:line="340" w:lineRule="exact"/>
              <w:jc w:val="center"/>
              <w:rPr>
                <w:rFonts w:ascii="仿宋_GB2312" w:eastAsia="仿宋_GB2312"/>
                <w:color w:val="000000"/>
                <w:sz w:val="24"/>
              </w:rPr>
            </w:pPr>
            <w:r>
              <w:rPr>
                <w:rFonts w:hint="eastAsia" w:ascii="仿宋_GB2312" w:hAnsi="宋体" w:eastAsia="仿宋_GB2312" w:cs="仿宋_GB2312"/>
                <w:color w:val="000000"/>
                <w:sz w:val="24"/>
                <w:szCs w:val="24"/>
              </w:rPr>
              <w:t>（5分）</w:t>
            </w:r>
          </w:p>
        </w:tc>
        <w:tc>
          <w:tcPr>
            <w:tcW w:w="6720" w:type="dxa"/>
            <w:vAlign w:val="center"/>
          </w:tcPr>
          <w:p>
            <w:pPr>
              <w:spacing w:line="318" w:lineRule="exact"/>
              <w:ind w:left="1" w:firstLine="480" w:firstLineChars="200"/>
              <w:rPr>
                <w:rFonts w:ascii="仿宋_GB2312" w:eastAsia="仿宋_GB2312"/>
                <w:b/>
                <w:color w:val="FF0000"/>
                <w:sz w:val="24"/>
                <w:szCs w:val="24"/>
                <w:shd w:val="pct10" w:color="auto" w:fill="FFFFFF"/>
              </w:rPr>
            </w:pPr>
            <w:r>
              <w:rPr>
                <w:rFonts w:hint="eastAsia" w:ascii="仿宋_GB2312" w:hAnsi="宋体" w:eastAsia="仿宋_GB2312" w:cs="仿宋_GB2312"/>
                <w:color w:val="000000"/>
                <w:sz w:val="24"/>
                <w:szCs w:val="24"/>
              </w:rPr>
              <w:t>C8.努力争取教育投入稳步增加。建立健全生均公用经费财政拨款稳定增长机制，逐步达到苏南平均水平。年度生均公用经费财政拨款基准定额不低于省定标准。公用经费预算总额中安排用于教师培训的经费不低于5%。（5分）</w:t>
            </w:r>
          </w:p>
        </w:tc>
        <w:tc>
          <w:tcPr>
            <w:tcW w:w="1260" w:type="dxa"/>
            <w:vAlign w:val="center"/>
          </w:tcPr>
          <w:p>
            <w:pPr>
              <w:jc w:val="center"/>
              <w:rPr>
                <w:rFonts w:ascii="宋体"/>
              </w:rPr>
            </w:pPr>
            <w:r>
              <w:rPr>
                <w:rFonts w:hint="eastAsia" w:asci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spacing w:line="360" w:lineRule="exact"/>
              <w:ind w:firstLine="482" w:firstLineChars="200"/>
              <w:rPr>
                <w:rFonts w:ascii="宋体"/>
                <w:b/>
                <w:sz w:val="24"/>
              </w:rPr>
            </w:pPr>
            <w:r>
              <w:rPr>
                <w:rFonts w:hint="eastAsia" w:cs="仿宋_GB2312" w:asciiTheme="minorEastAsia" w:hAnsiTheme="minorEastAsia" w:eastAsiaTheme="minorEastAsia"/>
                <w:b/>
                <w:bCs/>
                <w:color w:val="000000"/>
                <w:sz w:val="24"/>
                <w:szCs w:val="21"/>
              </w:rPr>
              <w:t>C8：</w:t>
            </w:r>
            <w:r>
              <w:rPr>
                <w:rFonts w:hint="eastAsia" w:ascii="宋体" w:hAnsi="宋体"/>
                <w:szCs w:val="21"/>
              </w:rPr>
              <w:t>学校为一所乡镇高中，财政收支隶属洛阳镇财政管理。洛阳镇镇政府历年重视教育的投入，关注教育的发展与创新。为创建四星级高中，在2013至2015年间，洛阳镇党委政府先后集中投资两千多万对学校的硬件和环境进行升级改造。学校有完善的公用经费保障体系，每年的生均公用经费远超省定苏南平均标准1000元，14、15、16三年分别达到了3233元、2410元、2167元。学校重视对教师的培训，在公用经费中安排开支的培训经费三年分别达386431元、283126元、257247元，分别占公用经费总额的8.2％、8.8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9291" w:type="dxa"/>
            <w:gridSpan w:val="3"/>
            <w:vAlign w:val="center"/>
          </w:tcPr>
          <w:p>
            <w:pPr>
              <w:rPr>
                <w:rFonts w:ascii="宋体"/>
                <w:b/>
                <w:sz w:val="24"/>
              </w:rPr>
            </w:pPr>
          </w:p>
        </w:tc>
      </w:tr>
    </w:tbl>
    <w:p>
      <w:pPr>
        <w:tabs>
          <w:tab w:val="left" w:pos="9135"/>
        </w:tabs>
        <w:ind w:right="428" w:rightChars="204"/>
        <w:rPr>
          <w:rFonts w:ascii="宋体"/>
        </w:rPr>
      </w:pPr>
      <w:r>
        <w:rPr>
          <w:rFonts w:hint="eastAsia" w:ascii="宋体"/>
        </w:rPr>
        <w:t>注：</w:t>
      </w:r>
      <w:r>
        <w:rPr>
          <w:rFonts w:hint="eastAsia" w:ascii="仿宋_GB2312" w:eastAsia="仿宋_GB2312"/>
          <w:color w:val="000000"/>
          <w:sz w:val="24"/>
        </w:rPr>
        <w:t xml:space="preserve"> </w:t>
      </w:r>
      <w:r>
        <w:rPr>
          <w:rFonts w:hint="eastAsia" w:ascii="宋体"/>
        </w:rPr>
        <w:t>必查材料为学校有关财务报表。</w:t>
      </w:r>
    </w:p>
    <w:p>
      <w:pPr>
        <w:tabs>
          <w:tab w:val="left" w:pos="9135"/>
        </w:tabs>
        <w:ind w:right="428" w:rightChars="204"/>
        <w:rPr>
          <w:rFonts w:ascii="仿宋_GB2312" w:eastAsia="仿宋_GB2312"/>
          <w:color w:val="000000"/>
          <w:sz w:val="24"/>
        </w:rPr>
      </w:pP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spacing w:line="260" w:lineRule="exact"/>
              <w:ind w:right="-109" w:rightChars="-52"/>
              <w:rPr>
                <w:rFonts w:ascii="仿宋_GB2312" w:hAnsi="宋体" w:eastAsia="仿宋_GB2312"/>
                <w:color w:val="000000"/>
                <w:sz w:val="24"/>
                <w:szCs w:val="24"/>
              </w:rPr>
            </w:pPr>
            <w:r>
              <w:rPr>
                <w:rFonts w:hint="eastAsia" w:ascii="仿宋_GB2312" w:hAnsi="宋体" w:eastAsia="仿宋_GB2312" w:cs="仿宋_GB2312"/>
                <w:color w:val="000000"/>
                <w:sz w:val="24"/>
                <w:szCs w:val="24"/>
              </w:rPr>
              <w:t>B6．</w:t>
            </w:r>
          </w:p>
          <w:p>
            <w:pPr>
              <w:spacing w:line="260" w:lineRule="exact"/>
              <w:ind w:right="-109" w:rightChars="-52"/>
              <w:rPr>
                <w:rFonts w:ascii="仿宋_GB2312" w:hAnsi="宋体" w:eastAsia="仿宋_GB2312"/>
                <w:color w:val="000000"/>
                <w:sz w:val="24"/>
                <w:szCs w:val="24"/>
              </w:rPr>
            </w:pPr>
            <w:r>
              <w:rPr>
                <w:rFonts w:hint="eastAsia" w:ascii="仿宋_GB2312" w:hAnsi="宋体" w:eastAsia="仿宋_GB2312" w:cs="仿宋_GB2312"/>
                <w:color w:val="000000"/>
                <w:sz w:val="24"/>
                <w:szCs w:val="24"/>
              </w:rPr>
              <w:t>设施设备</w:t>
            </w:r>
          </w:p>
          <w:p>
            <w:pPr>
              <w:spacing w:line="340" w:lineRule="exact"/>
              <w:jc w:val="center"/>
              <w:rPr>
                <w:rFonts w:ascii="仿宋_GB2312" w:eastAsia="仿宋_GB2312"/>
                <w:color w:val="000000"/>
                <w:sz w:val="24"/>
                <w:szCs w:val="24"/>
              </w:rPr>
            </w:pPr>
            <w:r>
              <w:rPr>
                <w:rFonts w:hint="eastAsia" w:ascii="仿宋_GB2312" w:hAnsi="宋体" w:eastAsia="仿宋_GB2312" w:cs="仿宋_GB2312"/>
                <w:color w:val="000000"/>
                <w:sz w:val="24"/>
                <w:szCs w:val="24"/>
              </w:rPr>
              <w:t>（10分）</w:t>
            </w:r>
          </w:p>
        </w:tc>
        <w:tc>
          <w:tcPr>
            <w:tcW w:w="6720" w:type="dxa"/>
            <w:vAlign w:val="center"/>
          </w:tcPr>
          <w:p>
            <w:pPr>
              <w:spacing w:line="318" w:lineRule="exact"/>
              <w:ind w:left="1"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C9. 校园布局合理美观，生均占地面积不低于37（老城区30）平方米</w:t>
            </w:r>
            <w:r>
              <w:rPr>
                <w:rFonts w:hint="eastAsia" w:ascii="仿宋_GB2312" w:hAnsi="宋体" w:eastAsia="仿宋_GB2312" w:cs="仿宋_GB2312"/>
                <w:b/>
                <w:bCs/>
                <w:color w:val="000000"/>
                <w:sz w:val="24"/>
                <w:szCs w:val="24"/>
              </w:rPr>
              <w:t>，</w:t>
            </w:r>
            <w:r>
              <w:rPr>
                <w:rFonts w:hint="eastAsia" w:ascii="仿宋_GB2312" w:hAnsi="宋体" w:eastAsia="仿宋_GB2312" w:cs="仿宋_GB2312"/>
                <w:color w:val="000000"/>
                <w:sz w:val="24"/>
                <w:szCs w:val="24"/>
              </w:rPr>
              <w:t>生均绿化面积不低于6平方米，生均校舍面积不低于23平方米。设置300米以上的环形跑道和一定标准的风雨操场。学校体育场地设施达到国家和江苏省《中小学体育场地器材配备标准》。（3分）</w:t>
            </w:r>
          </w:p>
          <w:p>
            <w:pPr>
              <w:spacing w:line="318" w:lineRule="exact"/>
              <w:ind w:left="1"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C10．基础设施配套齐全。配齐配足专用教室、办公用房，和其他辅助用房。课桌椅高度、黑板、教室采光、照明等教学环境，卫生建设规范化。新建学校食堂达到“食品卫生A级单位”标准，完成“明厨亮灶”建设。有“明厨亮灶”建设规划，学校食堂至少达到“食品卫生B级单位”标准；没有达到“明厨亮灶”要求的，必须有改造计划。宿舍、厕所等生活设施和教育教学各类建筑物等配套齐全、安全卫生。有规范的学校卫生（保健）室、心理咨询室，人员配备到位，有比较齐全的常用医疗器械和药品，专业化管理水平不断提高。（2分）</w:t>
            </w:r>
          </w:p>
          <w:p>
            <w:pPr>
              <w:spacing w:line="318" w:lineRule="exact"/>
              <w:ind w:left="1"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C11．教育设备达到《江苏省中小学教育技术装备标准》Ⅰ类标准，并适时更新。各类教育设施器材（包括体卫艺、实验、信息技术、综合实践活动等设备以及图书）账物相符，保养良好，维修及时，完好率达95%以上；使用合理，利用率高，发挥应有作用。教师演示实验和学生分组实验开出率达100%。音乐、美术等专用教室和各类体育场馆充分满足学生开展活动的需要。图书资料生均不少于50册，年生均购书1.5册以上；加大图书资源的开放度，设置班级图书角、校园公共区域书架，为学生提供广泛阅读的环境。（3分）</w:t>
            </w:r>
          </w:p>
          <w:p>
            <w:pPr>
              <w:spacing w:line="318" w:lineRule="exact"/>
              <w:ind w:left="1" w:firstLine="480" w:firstLineChars="200"/>
              <w:rPr>
                <w:rFonts w:ascii="仿宋_GB2312" w:eastAsia="仿宋_GB2312"/>
                <w:b/>
                <w:color w:val="FF0000"/>
                <w:sz w:val="24"/>
                <w:szCs w:val="24"/>
                <w:shd w:val="pct10" w:color="auto" w:fill="FFFFFF"/>
              </w:rPr>
            </w:pPr>
            <w:r>
              <w:rPr>
                <w:rFonts w:hint="eastAsia" w:ascii="仿宋_GB2312" w:hAnsi="宋体" w:eastAsia="仿宋_GB2312" w:cs="仿宋_GB2312"/>
                <w:color w:val="000000"/>
                <w:sz w:val="24"/>
                <w:szCs w:val="24"/>
              </w:rPr>
              <w:t>C12．学校信息化基础设施完备，满足教育、教学和管理需求。“校校通”覆盖率达100%，符合条件的学校实现无线网络全覆盖。教师数与网络环境下教师使用计算机之比达1:1。学校建有校园网、计算机网络教室、多媒体教室，配备校园广播、电视等。及时做好“常州市资产管理与装备管理信息系统”、“全国教育信息化工作进展信息系统”的维护使用工作。（2分）</w:t>
            </w:r>
          </w:p>
        </w:tc>
        <w:tc>
          <w:tcPr>
            <w:tcW w:w="1260" w:type="dxa"/>
            <w:vAlign w:val="center"/>
          </w:tcPr>
          <w:p>
            <w:pPr>
              <w:jc w:val="center"/>
              <w:rPr>
                <w:rFonts w:ascii="宋体"/>
              </w:rPr>
            </w:pPr>
            <w:r>
              <w:rPr>
                <w:rFonts w:hint="eastAsia" w:ascii="宋体"/>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spacing w:line="360" w:lineRule="exact"/>
              <w:ind w:left="1" w:firstLine="420" w:firstLineChars="200"/>
              <w:rPr>
                <w:rFonts w:ascii="宋体" w:hAnsi="宋体" w:cs="宋体"/>
                <w:bCs/>
                <w:color w:val="000000"/>
                <w:szCs w:val="21"/>
              </w:rPr>
            </w:pPr>
            <w:r>
              <w:rPr>
                <w:rFonts w:hint="eastAsia" w:ascii="宋体" w:hAnsi="宋体" w:cs="宋体"/>
                <w:bCs/>
                <w:color w:val="000000"/>
                <w:szCs w:val="21"/>
              </w:rPr>
              <w:t>学校校园布局合理美观，基础设施设备齐全，教育设备达标，信息化基础设施完备。</w:t>
            </w:r>
          </w:p>
          <w:p>
            <w:pPr>
              <w:spacing w:line="360" w:lineRule="exact"/>
              <w:ind w:left="1" w:firstLine="482" w:firstLineChars="200"/>
              <w:rPr>
                <w:rFonts w:hAnsi="宋体" w:cs="宋体"/>
              </w:rPr>
            </w:pPr>
            <w:r>
              <w:rPr>
                <w:rFonts w:hint="eastAsia" w:ascii="宋体" w:hAnsi="宋体" w:cs="宋体"/>
                <w:b/>
                <w:bCs/>
                <w:color w:val="000000"/>
                <w:sz w:val="24"/>
                <w:szCs w:val="21"/>
              </w:rPr>
              <w:t>C9：</w:t>
            </w:r>
            <w:r>
              <w:rPr>
                <w:rFonts w:hint="eastAsia" w:hAnsi="宋体" w:cs="宋体"/>
                <w:b/>
              </w:rPr>
              <w:t>校园</w:t>
            </w:r>
            <w:r>
              <w:rPr>
                <w:rFonts w:hAnsi="宋体" w:cs="宋体"/>
                <w:b/>
              </w:rPr>
              <w:t>布局合理美观。</w:t>
            </w:r>
            <w:r>
              <w:rPr>
                <w:rFonts w:hint="eastAsia" w:hAnsi="宋体" w:cs="宋体"/>
              </w:rPr>
              <w:t>学校于1994年搬迁至现校址，2012年起，学校按江苏省四星级高中标准投入两千多进行全面改造和提升,改造后的校园，校舍布局合理，设备设施先进完备。学校教学区、运动区和生活区三区分割清楚，校园环境优美整洁。学校是江苏省绿色学校，常州市生态园林单位。</w:t>
            </w:r>
          </w:p>
          <w:p>
            <w:pPr>
              <w:pStyle w:val="6"/>
              <w:spacing w:line="360" w:lineRule="exact"/>
              <w:ind w:firstLine="422" w:firstLineChars="200"/>
              <w:rPr>
                <w:rFonts w:hAnsi="宋体" w:eastAsia="宋体" w:cs="宋体"/>
              </w:rPr>
            </w:pPr>
            <w:r>
              <w:rPr>
                <w:rFonts w:hint="eastAsia" w:hAnsi="宋体" w:eastAsia="宋体" w:cs="宋体"/>
                <w:b/>
              </w:rPr>
              <w:t>生均</w:t>
            </w:r>
            <w:r>
              <w:rPr>
                <w:rFonts w:hAnsi="宋体" w:eastAsia="宋体" w:cs="宋体"/>
                <w:b/>
              </w:rPr>
              <w:t>用地、用房面积达标。</w:t>
            </w:r>
            <w:r>
              <w:rPr>
                <w:rFonts w:hint="eastAsia" w:hAnsi="宋体" w:eastAsia="宋体" w:cs="宋体"/>
              </w:rPr>
              <w:t>学校占地120亩，共计79626平方米，在校学生总数1399人，生均校园面积56.9平方米。绿化面积为30800平方米，生均绿化面积22平方米。学校校舍面积现为48944平方米，生均校舍建筑面积（不含学生宿舍、教职工宿舍）达35平方米。</w:t>
            </w:r>
          </w:p>
          <w:p>
            <w:pPr>
              <w:spacing w:line="360" w:lineRule="exact"/>
              <w:ind w:firstLine="413" w:firstLineChars="196"/>
              <w:rPr>
                <w:rFonts w:ascii="宋体" w:hAnsi="宋体" w:cs="宋体"/>
                <w:szCs w:val="21"/>
              </w:rPr>
            </w:pPr>
            <w:r>
              <w:rPr>
                <w:rFonts w:hint="eastAsia" w:ascii="宋体" w:hAnsi="宋体" w:cs="宋体"/>
                <w:b/>
                <w:szCs w:val="21"/>
              </w:rPr>
              <w:t>体育</w:t>
            </w:r>
            <w:r>
              <w:rPr>
                <w:rFonts w:ascii="宋体" w:hAnsi="宋体" w:cs="宋体"/>
                <w:b/>
                <w:szCs w:val="21"/>
              </w:rPr>
              <w:t>设备设施齐全。</w:t>
            </w:r>
            <w:r>
              <w:rPr>
                <w:rFonts w:hint="eastAsia" w:ascii="宋体" w:hAnsi="宋体" w:cs="宋体"/>
                <w:szCs w:val="21"/>
              </w:rPr>
              <w:t>学校有建筑面积5500 平方米的二层体育馆一幢，内设室内篮球场、乒乓室、健身房、单车房、台球室、舞蹈房；有一幢建筑面积为2750 平方米的游泳馆，一层为25米8道泳池，二层为羽毛球馆，有羽毛球场6块；有400米8道塑胶跑道标准田径运动场（含足球场）一片，面积为11700 平方米。学校还有篮球场6片、排球场3片；室外乒乓桌18张，室外健身器材、单双杠、爬竿等运动器械58件。学校体育器材配置完备并逐年更新，达到国家和江苏省《中小学体育场地器材配备标准》完全满足教学和活动需要。</w:t>
            </w:r>
          </w:p>
          <w:p>
            <w:pPr>
              <w:spacing w:line="360" w:lineRule="exact"/>
              <w:ind w:left="1" w:firstLine="482" w:firstLineChars="200"/>
              <w:rPr>
                <w:rFonts w:ascii="宋体" w:hAnsi="宋体" w:cs="宋体"/>
                <w:szCs w:val="21"/>
              </w:rPr>
            </w:pPr>
            <w:r>
              <w:rPr>
                <w:rFonts w:hint="eastAsia" w:ascii="宋体" w:hAnsi="宋体" w:cs="宋体"/>
                <w:b/>
                <w:bCs/>
                <w:color w:val="000000"/>
                <w:sz w:val="24"/>
                <w:szCs w:val="21"/>
              </w:rPr>
              <w:t>C10：</w:t>
            </w:r>
            <w:r>
              <w:rPr>
                <w:rFonts w:hint="eastAsia" w:ascii="宋体" w:hAnsi="宋体" w:cs="宋体"/>
                <w:b/>
                <w:szCs w:val="21"/>
              </w:rPr>
              <w:t>基础</w:t>
            </w:r>
            <w:r>
              <w:rPr>
                <w:rFonts w:ascii="宋体" w:hAnsi="宋体" w:cs="宋体"/>
                <w:b/>
                <w:szCs w:val="21"/>
              </w:rPr>
              <w:t>设施齐全、</w:t>
            </w:r>
            <w:r>
              <w:rPr>
                <w:rFonts w:hint="eastAsia" w:ascii="宋体" w:hAnsi="宋体" w:cs="宋体"/>
                <w:b/>
                <w:szCs w:val="21"/>
              </w:rPr>
              <w:t>校园</w:t>
            </w:r>
            <w:r>
              <w:rPr>
                <w:rFonts w:ascii="宋体" w:hAnsi="宋体" w:cs="宋体"/>
                <w:b/>
                <w:szCs w:val="21"/>
              </w:rPr>
              <w:t>整洁美观。</w:t>
            </w:r>
            <w:r>
              <w:rPr>
                <w:rFonts w:hint="eastAsia" w:ascii="宋体" w:hAnsi="宋体" w:cs="宋体"/>
                <w:szCs w:val="21"/>
              </w:rPr>
              <w:t>学校有独立的办公大楼和教学大楼，用房数量充足，设备设施完善，课桌椅高度适中，黑板内置多媒体交互一体机，教室宽敞明亮，完全能满足师生教育教学活动的需求。</w:t>
            </w:r>
          </w:p>
          <w:p>
            <w:pPr>
              <w:pStyle w:val="17"/>
              <w:spacing w:line="360" w:lineRule="exact"/>
              <w:ind w:left="-105" w:firstLine="458"/>
              <w:rPr>
                <w:rFonts w:ascii="宋体" w:hAnsi="宋体" w:cs="宋体"/>
              </w:rPr>
            </w:pPr>
            <w:r>
              <w:rPr>
                <w:rFonts w:hint="eastAsia" w:ascii="宋体" w:hAnsi="宋体" w:cs="宋体"/>
              </w:rPr>
              <w:t>学校图书馆是“江苏省中学一级图书馆”。图书馆使用面积2800平方米，共分三个楼层：一楼有采编室、教工书库、师生共享书库、教工资料室、音像资料库和借书处；二楼有休闲书吧、</w:t>
            </w:r>
            <w:r>
              <w:rPr>
                <w:rFonts w:hint="eastAsia" w:ascii="宋体" w:hAnsi="宋体" w:cs="宋体"/>
                <w:color w:val="000000"/>
              </w:rPr>
              <w:t>阅览室，阅览室有座位150个；</w:t>
            </w:r>
            <w:r>
              <w:rPr>
                <w:rFonts w:hint="eastAsia" w:ascii="宋体" w:hAnsi="宋体" w:cs="宋体"/>
              </w:rPr>
              <w:t>另有电子阅览室1个，装备电脑60台；</w:t>
            </w:r>
            <w:r>
              <w:rPr>
                <w:rFonts w:hint="eastAsia" w:ascii="宋体" w:hAnsi="宋体" w:cs="宋体"/>
                <w:color w:val="000000"/>
              </w:rPr>
              <w:t>三楼建有多功能报告厅。</w:t>
            </w:r>
          </w:p>
          <w:p>
            <w:pPr>
              <w:spacing w:line="360" w:lineRule="exact"/>
              <w:ind w:firstLine="407" w:firstLineChars="194"/>
              <w:rPr>
                <w:rFonts w:ascii="宋体" w:hAnsi="宋体" w:cs="宋体"/>
                <w:szCs w:val="21"/>
              </w:rPr>
            </w:pPr>
            <w:r>
              <w:rPr>
                <w:rFonts w:hint="eastAsia" w:ascii="宋体" w:hAnsi="宋体" w:cs="宋体"/>
                <w:kern w:val="0"/>
                <w:szCs w:val="21"/>
              </w:rPr>
              <w:t>学校有艺术楼一栋，面积7000平方米。</w:t>
            </w:r>
            <w:r>
              <w:rPr>
                <w:rFonts w:hint="eastAsia" w:ascii="宋体" w:hAnsi="宋体" w:cs="宋体"/>
                <w:color w:val="000000"/>
                <w:kern w:val="0"/>
                <w:szCs w:val="21"/>
              </w:rPr>
              <w:t>拥有美术专用画室19个（其中9个画室配置先进的</w:t>
            </w:r>
            <w:r>
              <w:rPr>
                <w:rFonts w:hint="eastAsia" w:ascii="宋体" w:hAnsi="宋体" w:cs="宋体"/>
                <w:szCs w:val="21"/>
              </w:rPr>
              <w:t>美术专业教学局域网</w:t>
            </w:r>
            <w:r>
              <w:rPr>
                <w:rFonts w:hint="eastAsia" w:ascii="宋体" w:hAnsi="宋体" w:cs="宋体"/>
                <w:color w:val="000000"/>
                <w:kern w:val="0"/>
                <w:szCs w:val="21"/>
              </w:rPr>
              <w:t>），数字美术媒体室1个，教师画室3个；多媒体美术作品欣赏室2个，美术图例室1个，美术器材室3个，书法室1个、国画室1个，</w:t>
            </w:r>
            <w:r>
              <w:rPr>
                <w:rFonts w:hint="eastAsia" w:ascii="宋体" w:hAnsi="宋体" w:cs="宋体"/>
                <w:kern w:val="0"/>
                <w:szCs w:val="21"/>
              </w:rPr>
              <w:t>艺行坊</w:t>
            </w:r>
            <w:r>
              <w:rPr>
                <w:rFonts w:hint="eastAsia" w:ascii="宋体" w:hAnsi="宋体" w:cs="宋体"/>
                <w:color w:val="000000"/>
                <w:kern w:val="0"/>
                <w:szCs w:val="21"/>
              </w:rPr>
              <w:t>1个；拥有专用音乐教室5个（配有多媒体教学系统），学生琴房</w:t>
            </w:r>
            <w:r>
              <w:rPr>
                <w:rFonts w:hint="eastAsia" w:ascii="宋体" w:hAnsi="宋体" w:cs="宋体"/>
                <w:kern w:val="0"/>
                <w:szCs w:val="21"/>
              </w:rPr>
              <w:t>20</w:t>
            </w:r>
            <w:r>
              <w:rPr>
                <w:rFonts w:hint="eastAsia" w:ascii="宋体" w:hAnsi="宋体" w:cs="宋体"/>
                <w:color w:val="000000"/>
                <w:kern w:val="0"/>
                <w:szCs w:val="21"/>
              </w:rPr>
              <w:t>个，教师琴房3个，音乐器材室1个，形体房1个，录播室1个；另外还配有252个座位的学生艺术展演中心。</w:t>
            </w:r>
          </w:p>
          <w:p>
            <w:pPr>
              <w:spacing w:line="360" w:lineRule="exact"/>
              <w:ind w:firstLine="420" w:firstLineChars="200"/>
              <w:rPr>
                <w:rFonts w:ascii="宋体" w:hAnsi="宋体" w:cs="宋体"/>
                <w:kern w:val="0"/>
                <w:szCs w:val="21"/>
              </w:rPr>
            </w:pPr>
            <w:r>
              <w:rPr>
                <w:rFonts w:hint="eastAsia" w:ascii="宋体" w:hAnsi="宋体" w:cs="宋体"/>
                <w:kern w:val="0"/>
                <w:szCs w:val="21"/>
              </w:rPr>
              <w:t>学校</w:t>
            </w:r>
            <w:r>
              <w:rPr>
                <w:rFonts w:hint="eastAsia" w:ascii="宋体" w:hAnsi="宋体" w:cs="宋体"/>
                <w:color w:val="000000"/>
                <w:kern w:val="0"/>
                <w:szCs w:val="21"/>
              </w:rPr>
              <w:t>建有</w:t>
            </w:r>
            <w:r>
              <w:rPr>
                <w:rFonts w:hint="eastAsia" w:ascii="宋体" w:hAnsi="宋体" w:cs="宋体"/>
                <w:kern w:val="0"/>
                <w:szCs w:val="21"/>
              </w:rPr>
              <w:t>实验楼</w:t>
            </w:r>
            <w:r>
              <w:rPr>
                <w:rFonts w:hint="eastAsia" w:ascii="宋体" w:hAnsi="宋体" w:cs="宋体"/>
                <w:color w:val="000000"/>
                <w:kern w:val="0"/>
                <w:szCs w:val="21"/>
              </w:rPr>
              <w:t>一幢，现标准配置物理实验室</w:t>
            </w:r>
            <w:r>
              <w:rPr>
                <w:rFonts w:hint="eastAsia" w:ascii="宋体" w:hAnsi="宋体" w:cs="宋体"/>
                <w:kern w:val="0"/>
                <w:szCs w:val="21"/>
              </w:rPr>
              <w:t>4</w:t>
            </w:r>
            <w:r>
              <w:rPr>
                <w:rFonts w:hint="eastAsia" w:ascii="宋体" w:hAnsi="宋体" w:cs="宋体"/>
                <w:color w:val="000000"/>
                <w:kern w:val="0"/>
                <w:szCs w:val="21"/>
              </w:rPr>
              <w:t>个、化学实验室</w:t>
            </w:r>
            <w:r>
              <w:rPr>
                <w:rFonts w:hint="eastAsia" w:ascii="宋体" w:hAnsi="宋体" w:cs="宋体"/>
                <w:kern w:val="0"/>
                <w:szCs w:val="21"/>
              </w:rPr>
              <w:t>4</w:t>
            </w:r>
            <w:r>
              <w:rPr>
                <w:rFonts w:hint="eastAsia" w:ascii="宋体" w:hAnsi="宋体" w:cs="宋体"/>
                <w:color w:val="000000"/>
                <w:kern w:val="0"/>
                <w:szCs w:val="21"/>
              </w:rPr>
              <w:t>个、生物实验室</w:t>
            </w:r>
            <w:r>
              <w:rPr>
                <w:rFonts w:hint="eastAsia" w:ascii="宋体" w:hAnsi="宋体" w:cs="宋体"/>
                <w:kern w:val="0"/>
                <w:szCs w:val="21"/>
              </w:rPr>
              <w:t>3</w:t>
            </w:r>
            <w:r>
              <w:rPr>
                <w:rFonts w:hint="eastAsia" w:ascii="宋体" w:hAnsi="宋体" w:cs="宋体"/>
                <w:color w:val="000000"/>
                <w:kern w:val="0"/>
                <w:szCs w:val="21"/>
              </w:rPr>
              <w:t>个，</w:t>
            </w:r>
            <w:r>
              <w:rPr>
                <w:rFonts w:hint="eastAsia" w:ascii="宋体" w:hAnsi="宋体" w:cs="宋体"/>
                <w:kern w:val="0"/>
                <w:szCs w:val="21"/>
              </w:rPr>
              <w:t>标本室1个，有标本200件。</w:t>
            </w:r>
            <w:r>
              <w:rPr>
                <w:rFonts w:hint="eastAsia" w:ascii="宋体" w:hAnsi="宋体" w:cs="宋体"/>
                <w:color w:val="000000"/>
                <w:kern w:val="0"/>
                <w:szCs w:val="21"/>
              </w:rPr>
              <w:t>实验室配置齐全，设备先进，有配套的准备室、工作室、仪器室或药品室。目前演示实验仪器能按新课程标准开足开齐各类实验，2人1组分组实验开出率为100%。</w:t>
            </w:r>
            <w:r>
              <w:rPr>
                <w:rFonts w:hint="eastAsia" w:ascii="宋体" w:hAnsi="宋体" w:cs="宋体"/>
                <w:bCs/>
                <w:szCs w:val="21"/>
              </w:rPr>
              <w:t>根据学校发展和人才培养需要，学校按照省标一类标准配备了一个数字化实验室，</w:t>
            </w:r>
            <w:r>
              <w:rPr>
                <w:rFonts w:hint="eastAsia" w:ascii="宋体" w:hAnsi="宋体" w:cs="宋体"/>
                <w:szCs w:val="21"/>
              </w:rPr>
              <w:t>满足了理、化、生学科教学需要，方便组织学生开展探究实验教学活动，充分激发学生创新实验的积极性。</w:t>
            </w:r>
            <w:r>
              <w:rPr>
                <w:rFonts w:hint="eastAsia" w:ascii="宋体" w:hAnsi="宋体" w:cs="宋体"/>
                <w:kern w:val="0"/>
                <w:szCs w:val="21"/>
              </w:rPr>
              <w:t>学校是“常州市实验室建设先进单位”。</w:t>
            </w:r>
          </w:p>
          <w:p>
            <w:pPr>
              <w:spacing w:line="360" w:lineRule="exact"/>
              <w:ind w:firstLine="420" w:firstLineChars="200"/>
              <w:rPr>
                <w:rFonts w:ascii="宋体" w:hAnsi="宋体" w:cs="宋体"/>
                <w:color w:val="000000"/>
                <w:kern w:val="0"/>
                <w:szCs w:val="21"/>
              </w:rPr>
            </w:pPr>
            <w:r>
              <w:rPr>
                <w:rFonts w:hint="eastAsia" w:ascii="宋体" w:hAnsi="宋体" w:cs="宋体"/>
                <w:color w:val="000000"/>
                <w:kern w:val="0"/>
                <w:szCs w:val="21"/>
              </w:rPr>
              <w:t>学校有3个通用技术教室，分别为通用技术设计室、通用技术制作实践室和电子技术实验室，能根据新课程标准满足学生设计与操作要求。</w:t>
            </w:r>
          </w:p>
          <w:p>
            <w:pPr>
              <w:spacing w:line="360" w:lineRule="exact"/>
              <w:ind w:firstLine="413" w:firstLineChars="196"/>
              <w:rPr>
                <w:rFonts w:ascii="宋体" w:hAnsi="宋体" w:cs="宋体"/>
                <w:color w:val="000000"/>
                <w:szCs w:val="21"/>
              </w:rPr>
            </w:pPr>
            <w:r>
              <w:rPr>
                <w:rFonts w:hint="eastAsia" w:ascii="宋体" w:hAnsi="宋体" w:cs="宋体"/>
                <w:b/>
                <w:color w:val="000000"/>
                <w:kern w:val="0"/>
                <w:szCs w:val="21"/>
              </w:rPr>
              <w:t>“明厨亮灶”</w:t>
            </w:r>
            <w:r>
              <w:rPr>
                <w:rFonts w:ascii="宋体" w:hAnsi="宋体" w:cs="宋体"/>
                <w:b/>
                <w:color w:val="000000"/>
                <w:kern w:val="0"/>
                <w:szCs w:val="21"/>
              </w:rPr>
              <w:t>达标</w:t>
            </w:r>
            <w:r>
              <w:rPr>
                <w:rFonts w:hint="eastAsia" w:ascii="宋体" w:hAnsi="宋体" w:cs="宋体"/>
                <w:b/>
                <w:color w:val="000000"/>
                <w:kern w:val="0"/>
                <w:szCs w:val="21"/>
              </w:rPr>
              <w:t>。</w:t>
            </w:r>
            <w:r>
              <w:rPr>
                <w:rFonts w:hint="eastAsia" w:ascii="宋体" w:hAnsi="宋体" w:cs="宋体"/>
                <w:color w:val="000000"/>
                <w:kern w:val="0"/>
                <w:szCs w:val="21"/>
              </w:rPr>
              <w:t>学校食堂名为“菜根楼”，是常州市“食品卫生A级单位”，总面积5148平方米，其中厨房使用面积616平方米，就餐座位2300个，能完全满足学生一人一座的就餐要求。学校食堂完成“明厨亮灶”建设要求，内部宽敞、整洁、卫生，设有相对独立的操作间、切配间、清洗间、消毒间、储藏间、售菜间、更衣室、餐厅等。食堂还装备了视频监视系统，管理部门能及时了解食堂的运行操作情况，使食堂从业人员严格按照规范操作，为食品卫生安全提供了保障。食堂东侧，是学生浴室</w:t>
            </w:r>
            <w:r>
              <w:rPr>
                <w:rFonts w:hint="eastAsia" w:ascii="宋体" w:hAnsi="宋体" w:cs="宋体"/>
                <w:kern w:val="0"/>
                <w:szCs w:val="21"/>
              </w:rPr>
              <w:t>，装备有先进的空气热能和</w:t>
            </w:r>
            <w:r>
              <w:rPr>
                <w:rFonts w:ascii="宋体" w:hAnsi="宋体" w:cs="宋体"/>
                <w:kern w:val="0"/>
                <w:szCs w:val="21"/>
              </w:rPr>
              <w:t>太阳能</w:t>
            </w:r>
            <w:r>
              <w:rPr>
                <w:rFonts w:hint="eastAsia" w:ascii="宋体" w:hAnsi="宋体" w:cs="宋体"/>
                <w:kern w:val="0"/>
                <w:szCs w:val="21"/>
              </w:rPr>
              <w:t>装置，一年四季都能</w:t>
            </w:r>
            <w:r>
              <w:rPr>
                <w:rFonts w:ascii="宋体" w:hAnsi="宋体" w:cs="宋体"/>
                <w:kern w:val="0"/>
                <w:szCs w:val="21"/>
              </w:rPr>
              <w:t>保障学生洗上热水澡，</w:t>
            </w:r>
            <w:r>
              <w:rPr>
                <w:rFonts w:hint="eastAsia" w:ascii="宋体" w:hAnsi="宋体" w:cs="宋体"/>
                <w:kern w:val="0"/>
                <w:szCs w:val="21"/>
              </w:rPr>
              <w:t>为学生提供了良好的生活</w:t>
            </w:r>
            <w:r>
              <w:rPr>
                <w:rFonts w:hint="eastAsia" w:ascii="宋体" w:hAnsi="宋体" w:cs="宋体"/>
                <w:color w:val="000000"/>
                <w:kern w:val="0"/>
                <w:szCs w:val="21"/>
              </w:rPr>
              <w:t>条件。</w:t>
            </w:r>
          </w:p>
          <w:p>
            <w:pPr>
              <w:spacing w:line="360" w:lineRule="exact"/>
              <w:ind w:firstLine="413" w:firstLineChars="196"/>
              <w:rPr>
                <w:rFonts w:ascii="宋体" w:hAnsi="宋体" w:cs="宋体"/>
                <w:szCs w:val="21"/>
              </w:rPr>
            </w:pPr>
            <w:r>
              <w:rPr>
                <w:rFonts w:hint="eastAsia" w:ascii="宋体" w:hAnsi="宋体" w:cs="宋体"/>
                <w:b/>
                <w:szCs w:val="21"/>
              </w:rPr>
              <w:t>设备</w:t>
            </w:r>
            <w:r>
              <w:rPr>
                <w:rFonts w:ascii="宋体" w:hAnsi="宋体" w:cs="宋体"/>
                <w:b/>
                <w:szCs w:val="21"/>
              </w:rPr>
              <w:t>设施安全卫生，专业化管理水平高。</w:t>
            </w:r>
            <w:r>
              <w:rPr>
                <w:rFonts w:hint="eastAsia" w:ascii="宋体" w:hAnsi="宋体" w:cs="宋体"/>
                <w:szCs w:val="21"/>
              </w:rPr>
              <w:t>学校建有学生宿舍5幢，建筑面积为9960平方米，共有床位2020个，生均建筑面积为7.4平方米，</w:t>
            </w:r>
            <w:r>
              <w:rPr>
                <w:rFonts w:hint="eastAsia" w:ascii="宋体" w:hAnsi="宋体" w:cs="宋体"/>
                <w:kern w:val="0"/>
                <w:szCs w:val="21"/>
              </w:rPr>
              <w:t>卫生设施齐全方便，能充分满足寄宿学生的住宿需要。</w:t>
            </w:r>
            <w:r>
              <w:rPr>
                <w:rFonts w:hint="eastAsia" w:ascii="宋体" w:hAnsi="宋体" w:cs="宋体"/>
                <w:szCs w:val="21"/>
              </w:rPr>
              <w:t>学校配备医务室一间，建筑面积72平方米。常用药品和常用检查、消毒仪器齐全，建立了严格的卫生管理制度、卫生检查制度、流行传染性疾病应急申报及处理制度。校医定期检查食堂、小卖部食品卫生情况和食堂营养餐情况，及时处理和上报各班级流行传染病发生情况，同时做好卫生防疫工作，为全校师生提供优良的医疗卫生服务。学校配备心理咨询室，有专业心理咨询师一名，建立学生心理档案，聘请心理专家开设讲座，保障学生心理健康。</w:t>
            </w:r>
          </w:p>
          <w:p>
            <w:pPr>
              <w:spacing w:line="360" w:lineRule="exact"/>
              <w:ind w:firstLine="470" w:firstLineChars="195"/>
              <w:rPr>
                <w:rFonts w:ascii="宋体" w:hAnsi="宋体" w:cs="仿宋_GB2312"/>
                <w:color w:val="000000"/>
                <w:szCs w:val="21"/>
              </w:rPr>
            </w:pPr>
            <w:r>
              <w:rPr>
                <w:rFonts w:hint="eastAsia" w:ascii="宋体" w:hAnsi="宋体"/>
                <w:b/>
                <w:sz w:val="24"/>
                <w:szCs w:val="21"/>
              </w:rPr>
              <w:t>C11：</w:t>
            </w:r>
            <w:r>
              <w:rPr>
                <w:rFonts w:hint="eastAsia" w:ascii="宋体" w:hAnsi="宋体" w:cs="仿宋_GB2312"/>
                <w:b/>
                <w:color w:val="000000"/>
                <w:szCs w:val="21"/>
              </w:rPr>
              <w:t>教育设备达到相关标准。</w:t>
            </w:r>
            <w:r>
              <w:rPr>
                <w:rFonts w:hint="eastAsia" w:ascii="宋体" w:hAnsi="宋体" w:cs="仿宋_GB2312"/>
                <w:color w:val="000000"/>
                <w:szCs w:val="21"/>
              </w:rPr>
              <w:t>学校各类设备设施按照《江苏省中小学教育技术装备标准》Ⅰ类标准配置，各类教育设施使用合理，并适时更新，充分满足师生教育教学、生活和活动的需求，对学生个性发展形成支撑。</w:t>
            </w:r>
          </w:p>
          <w:p>
            <w:pPr>
              <w:spacing w:line="360" w:lineRule="exact"/>
              <w:ind w:firstLine="422" w:firstLineChars="200"/>
              <w:rPr>
                <w:rFonts w:ascii="宋体" w:hAnsi="宋体" w:cs="仿宋_GB2312"/>
                <w:color w:val="000000"/>
                <w:szCs w:val="21"/>
              </w:rPr>
            </w:pPr>
            <w:r>
              <w:rPr>
                <w:rFonts w:hint="eastAsia" w:ascii="宋体" w:hAnsi="宋体" w:cs="仿宋_GB2312"/>
                <w:b/>
                <w:color w:val="000000"/>
                <w:szCs w:val="21"/>
              </w:rPr>
              <w:t>各类教育设施器材管理到位，使用规范、合理。</w:t>
            </w:r>
            <w:r>
              <w:rPr>
                <w:rFonts w:hint="eastAsia" w:ascii="宋体" w:hAnsi="宋体" w:cs="仿宋_GB2312"/>
                <w:color w:val="000000"/>
                <w:szCs w:val="21"/>
              </w:rPr>
              <w:t>学校对于各类教育设施器材的管理纳入常州市中小学资产与装备管理信息系统，做到专人管理，账物相符，保养良好，维修及时，保证完好率达95%以上。学校要求体育设施设备除了用于体育课教学活动外，在班级活动课期间在履行相关手续后允许学生借用，保证学生的活动需求。学校</w:t>
            </w:r>
            <w:r>
              <w:rPr>
                <w:rFonts w:ascii="宋体" w:hAnsi="宋体" w:cs="仿宋_GB2312"/>
                <w:color w:val="000000"/>
                <w:szCs w:val="21"/>
              </w:rPr>
              <w:t>医务室</w:t>
            </w:r>
            <w:r>
              <w:rPr>
                <w:rFonts w:hint="eastAsia" w:ascii="宋体" w:hAnsi="宋体" w:cs="仿宋_GB2312"/>
                <w:color w:val="000000"/>
                <w:szCs w:val="21"/>
              </w:rPr>
              <w:t>建筑</w:t>
            </w:r>
            <w:r>
              <w:rPr>
                <w:rFonts w:ascii="宋体" w:hAnsi="宋体" w:cs="仿宋_GB2312"/>
                <w:color w:val="000000"/>
                <w:szCs w:val="21"/>
              </w:rPr>
              <w:t>面积</w:t>
            </w:r>
            <w:r>
              <w:rPr>
                <w:rFonts w:hint="eastAsia" w:ascii="宋体" w:hAnsi="宋体" w:cs="仿宋_GB2312"/>
                <w:color w:val="000000"/>
                <w:szCs w:val="21"/>
              </w:rPr>
              <w:t>72</w:t>
            </w:r>
            <w:r>
              <w:rPr>
                <w:rFonts w:ascii="宋体" w:hAnsi="宋体" w:cs="仿宋_GB2312"/>
                <w:color w:val="000000"/>
                <w:szCs w:val="21"/>
              </w:rPr>
              <w:t>平方米</w:t>
            </w:r>
            <w:r>
              <w:rPr>
                <w:rFonts w:hint="eastAsia" w:ascii="宋体" w:hAnsi="宋体" w:cs="仿宋_GB2312"/>
                <w:color w:val="000000"/>
                <w:szCs w:val="21"/>
              </w:rPr>
              <w:t>。</w:t>
            </w:r>
            <w:r>
              <w:rPr>
                <w:rFonts w:ascii="宋体" w:hAnsi="宋体" w:cs="仿宋_GB2312"/>
                <w:color w:val="000000"/>
                <w:szCs w:val="21"/>
              </w:rPr>
              <w:t>常用药品和常用</w:t>
            </w:r>
            <w:r>
              <w:rPr>
                <w:rFonts w:hint="eastAsia" w:ascii="宋体" w:hAnsi="宋体" w:cs="仿宋_GB2312"/>
                <w:color w:val="000000"/>
                <w:szCs w:val="21"/>
              </w:rPr>
              <w:t>检查、消毒</w:t>
            </w:r>
            <w:r>
              <w:rPr>
                <w:rFonts w:ascii="宋体" w:hAnsi="宋体" w:cs="仿宋_GB2312"/>
                <w:color w:val="000000"/>
                <w:szCs w:val="21"/>
              </w:rPr>
              <w:t>仪器</w:t>
            </w:r>
            <w:r>
              <w:rPr>
                <w:rFonts w:hint="eastAsia" w:ascii="宋体" w:hAnsi="宋体" w:cs="仿宋_GB2312"/>
                <w:color w:val="000000"/>
                <w:szCs w:val="21"/>
              </w:rPr>
              <w:t>齐全，建立了严格的管理制度、卫生检查制度、流行传染性疾病应急申报及处理制度。学校是“全国百强特色学校”“江苏省艺术教育特色学校”，有面积为7000平方米的专用艺术楼一栋，拥有专用美术画室、音乐教室、学生琴房等十多种专项功能室。目前学校的美术音乐专业课程均在艺术楼各功能室开展教学。学校建有实验楼一幢，实验室配置齐全，设备先进，有配套的准备室、工作室、仪器室或药品室。演示实验仪器能按新课程标准开足开齐各类实验，2人1组分组实验开出率为100%。</w:t>
            </w:r>
            <w:r>
              <w:rPr>
                <w:rFonts w:hint="eastAsia" w:ascii="宋体" w:hAnsi="宋体"/>
                <w:color w:val="000000"/>
                <w:szCs w:val="21"/>
              </w:rPr>
              <w:t>学校有供学生专用的计算机教室，能充分满足一人一机、一人一座的教学要求。学校信息技术课程从高一第一学期开始开设至高二考核结束，保证每班每节信息技术课均能在一名专职教师授课指导下在计算机教室完成学习。</w:t>
            </w:r>
            <w:r>
              <w:rPr>
                <w:rFonts w:hint="eastAsia" w:ascii="宋体" w:hAnsi="宋体" w:cs="宋体"/>
                <w:kern w:val="0"/>
                <w:szCs w:val="21"/>
              </w:rPr>
              <w:t>学校拥有通用技术教室3个，社团活动室4个，各学科活动室9个，这些活动室功能齐全，</w:t>
            </w:r>
            <w:r>
              <w:rPr>
                <w:rFonts w:hint="eastAsia" w:ascii="宋体" w:hAnsi="宋体" w:cs="宋体"/>
                <w:color w:val="000000"/>
                <w:kern w:val="0"/>
                <w:szCs w:val="21"/>
              </w:rPr>
              <w:t>能根据新课程标准满足学生设计与操作要求。</w:t>
            </w:r>
            <w:r>
              <w:rPr>
                <w:rFonts w:hint="eastAsia" w:ascii="宋体" w:hAnsi="宋体" w:cs="宋体"/>
                <w:kern w:val="0"/>
                <w:szCs w:val="21"/>
              </w:rPr>
              <w:t>这些活动室的配置为学生</w:t>
            </w:r>
            <w:r>
              <w:rPr>
                <w:rFonts w:ascii="宋体" w:hAnsi="宋体" w:cs="Arial"/>
                <w:szCs w:val="21"/>
                <w:shd w:val="clear" w:color="auto" w:fill="FFFFFF"/>
              </w:rPr>
              <w:t>提供了一个相对独立的学习生态化空间，</w:t>
            </w:r>
            <w:r>
              <w:rPr>
                <w:rFonts w:hint="eastAsia" w:ascii="宋体" w:hAnsi="宋体" w:cs="Arial"/>
                <w:szCs w:val="21"/>
                <w:shd w:val="clear" w:color="auto" w:fill="FFFFFF"/>
              </w:rPr>
              <w:t>为</w:t>
            </w:r>
            <w:r>
              <w:rPr>
                <w:rFonts w:ascii="宋体" w:hAnsi="宋体" w:cs="Arial"/>
                <w:szCs w:val="21"/>
                <w:shd w:val="clear" w:color="auto" w:fill="FFFFFF"/>
              </w:rPr>
              <w:t>发展学生的综合实践能力、创新精神和探究能力</w:t>
            </w:r>
            <w:r>
              <w:rPr>
                <w:rFonts w:hint="eastAsia" w:ascii="宋体" w:hAnsi="宋体" w:cs="Arial"/>
                <w:szCs w:val="21"/>
                <w:shd w:val="clear" w:color="auto" w:fill="FFFFFF"/>
              </w:rPr>
              <w:t>，</w:t>
            </w:r>
            <w:r>
              <w:rPr>
                <w:rFonts w:ascii="宋体" w:hAnsi="宋体" w:cs="Arial"/>
                <w:szCs w:val="21"/>
                <w:shd w:val="clear" w:color="auto" w:fill="FFFFFF"/>
              </w:rPr>
              <w:t>满足学生个性差异的发展</w:t>
            </w:r>
            <w:r>
              <w:rPr>
                <w:rFonts w:hint="eastAsia" w:ascii="宋体" w:hAnsi="宋体" w:cs="Arial"/>
                <w:szCs w:val="21"/>
                <w:shd w:val="clear" w:color="auto" w:fill="FFFFFF"/>
              </w:rPr>
              <w:t>创造了必要的硬件条件。</w:t>
            </w:r>
          </w:p>
          <w:p>
            <w:pPr>
              <w:spacing w:line="360" w:lineRule="exact"/>
              <w:ind w:firstLine="413" w:firstLineChars="196"/>
              <w:rPr>
                <w:rFonts w:ascii="宋体" w:hAnsi="宋体" w:cs="宋体"/>
                <w:szCs w:val="21"/>
              </w:rPr>
            </w:pPr>
            <w:r>
              <w:rPr>
                <w:rFonts w:hint="eastAsia" w:ascii="宋体" w:hAnsi="宋体" w:cs="仿宋_GB2312"/>
                <w:b/>
                <w:color w:val="000000"/>
                <w:szCs w:val="21"/>
              </w:rPr>
              <w:t>图书资源充分利用。</w:t>
            </w:r>
            <w:r>
              <w:rPr>
                <w:rFonts w:hint="eastAsia" w:ascii="宋体" w:hAnsi="宋体" w:cs="仿宋_GB2312"/>
                <w:color w:val="000000"/>
                <w:szCs w:val="21"/>
              </w:rPr>
              <w:t>图书馆是“江苏省中学一级图书馆”。图书馆使用面积2800平方米，共分三个楼层：一楼有采编室、教工书库、师生共享书库、教工资料室、音像资料库和借书处；二楼有休闲书吧、阅览室，阅览室有座位150个,座位数与学生之比为1:10.7（按1400个学生计算）；另有电子阅览室1个，装备电脑60台；三楼建有多功能报告厅。1998年起图书馆实行计算机网络管理，有计算机8台,藏书(纸质)</w:t>
            </w:r>
            <w:r>
              <w:rPr>
                <w:rFonts w:hint="eastAsia" w:ascii="宋体" w:hAnsi="宋体" w:cs="仿宋_GB2312"/>
                <w:szCs w:val="21"/>
              </w:rPr>
              <w:t>83419册</w:t>
            </w:r>
            <w:r>
              <w:rPr>
                <w:rFonts w:hint="eastAsia" w:ascii="宋体" w:hAnsi="宋体" w:cs="仿宋_GB2312"/>
                <w:color w:val="000000"/>
                <w:szCs w:val="21"/>
              </w:rPr>
              <w:t>，含工具书2695种（其中《四库全书》一套1500册），音像资料2505盒，全部按《中图法》分类编目进入微机管理，生均纸质藏书为</w:t>
            </w:r>
            <w:r>
              <w:rPr>
                <w:rFonts w:hint="eastAsia" w:ascii="宋体" w:hAnsi="宋体" w:cs="仿宋_GB2312"/>
                <w:szCs w:val="21"/>
              </w:rPr>
              <w:t>60册</w:t>
            </w:r>
            <w:r>
              <w:rPr>
                <w:rFonts w:hint="eastAsia" w:ascii="宋体" w:hAnsi="宋体" w:cs="仿宋_GB2312"/>
                <w:color w:val="000000"/>
                <w:szCs w:val="21"/>
              </w:rPr>
              <w:t>，图书等各类资料均每年增添，近三年学校新增购书共7632册，年生均购书1.7册。图书馆实行全天开放式借书、自动化管理，极大地满足了师生教学的需求，开拓了师生的视野。此外，在学校图书馆二楼还开设了公共阅读区域，各班级教室也有书柜常年藏书，方便师生阅读。</w:t>
            </w:r>
          </w:p>
          <w:p>
            <w:pPr>
              <w:spacing w:line="360" w:lineRule="exact"/>
              <w:ind w:firstLine="482" w:firstLineChars="200"/>
              <w:rPr>
                <w:rFonts w:ascii="宋体" w:hAnsi="宋体" w:cs="宋体"/>
                <w:kern w:val="0"/>
                <w:szCs w:val="21"/>
              </w:rPr>
            </w:pPr>
            <w:r>
              <w:rPr>
                <w:rFonts w:hint="eastAsia" w:ascii="宋体" w:hAnsi="宋体" w:cs="宋体"/>
                <w:b/>
                <w:bCs/>
                <w:color w:val="000000"/>
                <w:sz w:val="24"/>
                <w:szCs w:val="21"/>
              </w:rPr>
              <w:t>C12：</w:t>
            </w:r>
            <w:r>
              <w:rPr>
                <w:rFonts w:hint="eastAsia" w:ascii="宋体" w:hAnsi="宋体" w:cs="宋体"/>
                <w:b/>
                <w:szCs w:val="21"/>
              </w:rPr>
              <w:t>信息化</w:t>
            </w:r>
            <w:r>
              <w:rPr>
                <w:rFonts w:ascii="宋体" w:hAnsi="宋体" w:cs="宋体"/>
                <w:b/>
                <w:szCs w:val="21"/>
              </w:rPr>
              <w:t>基础设施完备。</w:t>
            </w:r>
            <w:r>
              <w:rPr>
                <w:rFonts w:hint="eastAsia" w:ascii="宋体" w:hAnsi="宋体" w:cs="宋体"/>
                <w:szCs w:val="21"/>
              </w:rPr>
              <w:t>学校充分发掘互联网在教育教学和学校管理等领域的革命性作用，随着学校教育信息化建设的不断推进，</w:t>
            </w:r>
            <w:r>
              <w:rPr>
                <w:rFonts w:hint="eastAsia" w:ascii="宋体" w:hAnsi="宋体" w:cs="宋体"/>
                <w:color w:val="000000"/>
                <w:kern w:val="0"/>
                <w:szCs w:val="21"/>
              </w:rPr>
              <w:t>学校建成</w:t>
            </w:r>
            <w:r>
              <w:rPr>
                <w:rFonts w:hint="eastAsia" w:ascii="宋体" w:hAnsi="宋体" w:cs="宋体"/>
                <w:color w:val="000000"/>
                <w:szCs w:val="21"/>
              </w:rPr>
              <w:t>覆盖整个教学区的数字化教学资源管理系统。</w:t>
            </w:r>
            <w:r>
              <w:rPr>
                <w:rFonts w:hint="eastAsia" w:ascii="宋体" w:hAnsi="宋体" w:cs="宋体"/>
                <w:szCs w:val="21"/>
              </w:rPr>
              <w:t>校园网络按照流量大小、功能要求不同合理分布节点，已全面覆盖学校教育教学和办公、管理场所，校校通覆盖率达到100％，达到第三层次要求。学校设有计算机中心控制室1个，1000兆主干速率光纤通到各楼层。所有教师均能在网络环境下熟练使用计算机，人机比超1:1。</w:t>
            </w:r>
          </w:p>
          <w:p>
            <w:pPr>
              <w:spacing w:line="360" w:lineRule="exact"/>
              <w:ind w:firstLine="420" w:firstLineChars="200"/>
              <w:rPr>
                <w:rFonts w:ascii="宋体" w:hAnsi="宋体" w:cs="宋体"/>
                <w:szCs w:val="21"/>
              </w:rPr>
            </w:pPr>
            <w:r>
              <w:rPr>
                <w:rFonts w:hint="eastAsia" w:ascii="宋体" w:hAnsi="宋体" w:cs="宋体"/>
                <w:szCs w:val="21"/>
              </w:rPr>
              <w:t>学校自建校园网，域名为</w:t>
            </w:r>
            <w:r>
              <w:fldChar w:fldCharType="begin"/>
            </w:r>
            <w:r>
              <w:instrText xml:space="preserve"> HYPERLINK "http://www.wjlyms.net" </w:instrText>
            </w:r>
            <w:r>
              <w:fldChar w:fldCharType="separate"/>
            </w:r>
            <w:r>
              <w:rPr>
                <w:rStyle w:val="13"/>
                <w:rFonts w:hint="eastAsia" w:ascii="宋体" w:hAnsi="宋体" w:cs="宋体"/>
                <w:color w:val="000000"/>
                <w:szCs w:val="21"/>
                <w:u w:val="none"/>
              </w:rPr>
              <w:t>www.wjlyms.net</w:t>
            </w:r>
            <w:r>
              <w:rPr>
                <w:rStyle w:val="13"/>
                <w:rFonts w:hint="eastAsia" w:ascii="宋体" w:hAnsi="宋体" w:cs="宋体"/>
                <w:color w:val="000000"/>
                <w:szCs w:val="21"/>
                <w:u w:val="none"/>
              </w:rPr>
              <w:fldChar w:fldCharType="end"/>
            </w:r>
            <w:r>
              <w:rPr>
                <w:rFonts w:hint="eastAsia" w:ascii="宋体" w:hAnsi="宋体" w:cs="宋体"/>
                <w:szCs w:val="21"/>
              </w:rPr>
              <w:t>，</w:t>
            </w:r>
            <w:r>
              <w:rPr>
                <w:rFonts w:hint="eastAsia" w:ascii="宋体" w:hAnsi="宋体" w:cs="宋体"/>
                <w:color w:val="000000"/>
                <w:szCs w:val="21"/>
              </w:rPr>
              <w:t>学校网站内容丰富，更新及时，方便了师生访问、查阅、调用、上传、存贮、下载各种教育教学资源。学校还设立多种</w:t>
            </w:r>
            <w:r>
              <w:fldChar w:fldCharType="begin"/>
            </w:r>
            <w:r>
              <w:instrText xml:space="preserve"> HYPERLINK "http://www.hlsms.net/parent/more.asp?cid=1136" </w:instrText>
            </w:r>
            <w:r>
              <w:fldChar w:fldCharType="separate"/>
            </w:r>
            <w:r>
              <w:rPr>
                <w:rFonts w:hint="eastAsia" w:ascii="宋体" w:hAnsi="宋体" w:cs="宋体"/>
                <w:color w:val="000000"/>
                <w:szCs w:val="21"/>
              </w:rPr>
              <w:t>家校联系</w:t>
            </w:r>
            <w:r>
              <w:rPr>
                <w:rFonts w:hint="eastAsia" w:ascii="宋体" w:hAnsi="宋体" w:cs="宋体"/>
                <w:color w:val="000000"/>
                <w:szCs w:val="21"/>
              </w:rPr>
              <w:fldChar w:fldCharType="end"/>
            </w:r>
            <w:r>
              <w:rPr>
                <w:rFonts w:hint="eastAsia" w:ascii="宋体" w:hAnsi="宋体" w:cs="宋体"/>
                <w:color w:val="000000"/>
                <w:szCs w:val="21"/>
              </w:rPr>
              <w:t>沟通平台，有和教育平台、QQ群、微信群、微信公众号等</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color w:val="000000"/>
                <w:szCs w:val="21"/>
              </w:rPr>
              <w:t>学校有供学生专用的计算机教室4个，电子阅览室1个，数字美术媒体室1个，可供学生使用的电脑340台，生机比4.1：1，能充分满足一人一机，一人一座的教学要求。学校建有完善、先进、畅通的校园数字广播系统，设中心机房、演播室和广播站各一个。中心机房和广播系统设有中央控制室，自动控制全校的播音和信号，可分区域独立控制学校广播的播放和收听，</w:t>
            </w:r>
            <w:r>
              <w:rPr>
                <w:rFonts w:hint="eastAsia" w:ascii="宋体" w:hAnsi="宋体" w:cs="宋体"/>
                <w:color w:val="000000"/>
                <w:kern w:val="0"/>
                <w:szCs w:val="21"/>
              </w:rPr>
              <w:t>能充分满足校园升旗仪式、校园活动、上下课铃声、课间操、眼保健操、听力测试等需求。</w:t>
            </w:r>
            <w:r>
              <w:rPr>
                <w:rFonts w:hint="eastAsia" w:ascii="宋体" w:hAnsi="宋体" w:cs="宋体"/>
                <w:color w:val="000000"/>
                <w:szCs w:val="21"/>
              </w:rPr>
              <w:t>学校建有一个多功能录播教室，对课堂进行全程实录，为教师对课堂教学的研究、反思，开展微课教学活动提供保障。</w:t>
            </w:r>
          </w:p>
          <w:p>
            <w:pPr>
              <w:spacing w:line="360" w:lineRule="exact"/>
              <w:ind w:firstLine="413" w:firstLineChars="196"/>
              <w:rPr>
                <w:rFonts w:ascii="宋体"/>
                <w:b/>
                <w:sz w:val="24"/>
              </w:rPr>
            </w:pPr>
            <w:r>
              <w:rPr>
                <w:rFonts w:hint="eastAsia" w:ascii="宋体" w:hAnsi="宋体" w:cs="宋体"/>
                <w:b/>
                <w:color w:val="000000"/>
                <w:szCs w:val="21"/>
              </w:rPr>
              <w:t>及时</w:t>
            </w:r>
            <w:r>
              <w:rPr>
                <w:rFonts w:ascii="宋体" w:hAnsi="宋体" w:cs="宋体"/>
                <w:b/>
                <w:color w:val="000000"/>
                <w:szCs w:val="21"/>
              </w:rPr>
              <w:t>做好信息系统的维护使用工作。</w:t>
            </w:r>
            <w:r>
              <w:rPr>
                <w:rFonts w:hint="eastAsia" w:ascii="宋体" w:hAnsi="宋体" w:cs="宋体"/>
                <w:szCs w:val="21"/>
              </w:rPr>
              <w:t>学校拥有多种数字化管理平台，如网上听课系统、广播系统、教学质量评估和管理系统、安保系统、一卡通系统、学籍管理系统、春晖电子图书系统、自明排课系统等，为现代教</w:t>
            </w:r>
            <w:r>
              <w:rPr>
                <w:rFonts w:hint="eastAsia" w:ascii="宋体" w:hAnsi="宋体" w:cs="宋体"/>
                <w:color w:val="000000"/>
                <w:szCs w:val="21"/>
              </w:rPr>
              <w:t>学技术和管理提供有力的技术支撑，实现对对教育教学、财务、校产、图书、档案等方面的高效管理。</w:t>
            </w:r>
            <w:r>
              <w:rPr>
                <w:rFonts w:hint="eastAsia" w:ascii="宋体" w:hAnsi="宋体" w:cs="宋体"/>
                <w:szCs w:val="21"/>
              </w:rPr>
              <w:t>学校有专人对“</w:t>
            </w:r>
            <w:r>
              <w:fldChar w:fldCharType="begin"/>
            </w:r>
            <w:r>
              <w:instrText xml:space="preserve"> HYPERLINK "http://assets.czedu.gov.cn/am/home.jsf" </w:instrText>
            </w:r>
            <w:r>
              <w:fldChar w:fldCharType="separate"/>
            </w:r>
            <w:r>
              <w:rPr>
                <w:rFonts w:hint="eastAsia" w:ascii="宋体" w:hAnsi="宋体" w:cs="宋体"/>
                <w:szCs w:val="21"/>
              </w:rPr>
              <w:t>江苏省常州市资产与装备管理信息系统</w:t>
            </w:r>
            <w:r>
              <w:rPr>
                <w:rFonts w:hint="eastAsia" w:ascii="宋体" w:hAnsi="宋体" w:cs="宋体"/>
                <w:szCs w:val="21"/>
              </w:rPr>
              <w:fldChar w:fldCharType="end"/>
            </w:r>
            <w:r>
              <w:rPr>
                <w:rFonts w:hint="eastAsia" w:ascii="宋体" w:hAnsi="宋体" w:cs="宋体"/>
                <w:szCs w:val="21"/>
              </w:rPr>
              <w:t>”、“全国教育信息化工作进展信息系统”进行及时更新维护，确保信息资源准确无误</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rPr>
                <w:rFonts w:ascii="宋体"/>
                <w:b/>
                <w:sz w:val="24"/>
              </w:rPr>
            </w:pPr>
          </w:p>
        </w:tc>
      </w:tr>
    </w:tbl>
    <w:p>
      <w:pPr>
        <w:tabs>
          <w:tab w:val="left" w:pos="9135"/>
        </w:tabs>
        <w:ind w:right="428" w:rightChars="204"/>
        <w:rPr>
          <w:rFonts w:ascii="宋体"/>
        </w:rPr>
      </w:pPr>
      <w:r>
        <w:rPr>
          <w:rFonts w:hint="eastAsia" w:ascii="宋体"/>
        </w:rPr>
        <w:t>注：必查材料为食堂</w:t>
      </w:r>
      <w:r>
        <w:rPr>
          <w:rFonts w:hint="eastAsia" w:ascii="宋体" w:hAnsi="宋体" w:cs="仿宋_GB2312"/>
          <w:color w:val="000000"/>
          <w:szCs w:val="21"/>
        </w:rPr>
        <w:t>“明厨亮灶”建设规划、心理咨询室、</w:t>
      </w:r>
      <w:r>
        <w:rPr>
          <w:rFonts w:hint="eastAsia" w:ascii="宋体"/>
        </w:rPr>
        <w:t>图书馆藏书目录及师生借阅记录（抽样）、理化生实验室学生分组实验使用记录、校园网拓扑结构图。</w:t>
      </w:r>
    </w:p>
    <w:p>
      <w:pPr>
        <w:tabs>
          <w:tab w:val="left" w:pos="9135"/>
        </w:tabs>
        <w:ind w:right="428" w:rightChars="204"/>
        <w:rPr>
          <w:rFonts w:ascii="仿宋_GB2312" w:eastAsia="仿宋_GB2312"/>
          <w:color w:val="000000"/>
          <w:sz w:val="24"/>
        </w:rPr>
      </w:pPr>
      <w:r>
        <w:rPr>
          <w:rFonts w:hint="eastAsia" w:ascii="仿宋_GB2312" w:eastAsia="仿宋_GB2312"/>
          <w:color w:val="000000"/>
          <w:sz w:val="24"/>
        </w:rPr>
        <w:t xml:space="preserve"> </w:t>
      </w: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spacing w:line="260" w:lineRule="exact"/>
              <w:ind w:right="-109" w:rightChars="-52"/>
              <w:rPr>
                <w:rFonts w:ascii="仿宋_GB2312" w:hAnsi="宋体" w:eastAsia="仿宋_GB2312"/>
                <w:color w:val="000000"/>
                <w:sz w:val="24"/>
                <w:szCs w:val="24"/>
              </w:rPr>
            </w:pPr>
            <w:r>
              <w:rPr>
                <w:rFonts w:hint="eastAsia" w:ascii="仿宋_GB2312" w:hAnsi="宋体" w:eastAsia="仿宋_GB2312" w:cs="仿宋_GB2312"/>
                <w:color w:val="000000"/>
                <w:sz w:val="24"/>
                <w:szCs w:val="24"/>
              </w:rPr>
              <w:t>B7．</w:t>
            </w:r>
          </w:p>
          <w:p>
            <w:pPr>
              <w:spacing w:line="260" w:lineRule="exact"/>
              <w:ind w:right="-109" w:rightChars="-52"/>
              <w:rPr>
                <w:rFonts w:ascii="仿宋_GB2312" w:hAnsi="宋体" w:eastAsia="仿宋_GB2312"/>
                <w:color w:val="000000"/>
                <w:sz w:val="24"/>
                <w:szCs w:val="24"/>
              </w:rPr>
            </w:pPr>
            <w:r>
              <w:rPr>
                <w:rFonts w:hint="eastAsia" w:ascii="仿宋_GB2312" w:hAnsi="宋体" w:eastAsia="仿宋_GB2312" w:cs="仿宋_GB2312"/>
                <w:color w:val="000000"/>
                <w:sz w:val="24"/>
                <w:szCs w:val="24"/>
              </w:rPr>
              <w:t>师德建设</w:t>
            </w:r>
          </w:p>
          <w:p>
            <w:pPr>
              <w:spacing w:line="340" w:lineRule="exact"/>
              <w:jc w:val="center"/>
              <w:rPr>
                <w:rFonts w:ascii="仿宋_GB2312" w:eastAsia="仿宋_GB2312"/>
                <w:color w:val="000000"/>
                <w:sz w:val="24"/>
                <w:szCs w:val="24"/>
              </w:rPr>
            </w:pPr>
            <w:r>
              <w:rPr>
                <w:rFonts w:hint="eastAsia" w:ascii="仿宋_GB2312" w:hAnsi="宋体" w:eastAsia="仿宋_GB2312" w:cs="仿宋_GB2312"/>
                <w:color w:val="000000"/>
                <w:sz w:val="24"/>
                <w:szCs w:val="24"/>
              </w:rPr>
              <w:t>（5分）</w:t>
            </w:r>
          </w:p>
        </w:tc>
        <w:tc>
          <w:tcPr>
            <w:tcW w:w="6720" w:type="dxa"/>
            <w:vAlign w:val="center"/>
          </w:tcPr>
          <w:p>
            <w:pPr>
              <w:spacing w:line="318" w:lineRule="exact"/>
              <w:ind w:left="1" w:firstLine="480" w:firstLineChars="200"/>
              <w:rPr>
                <w:rFonts w:ascii="仿宋_GB2312" w:eastAsia="仿宋_GB2312"/>
                <w:b/>
                <w:color w:val="FF0000"/>
                <w:sz w:val="24"/>
                <w:szCs w:val="24"/>
                <w:shd w:val="pct10" w:color="auto" w:fill="FFFFFF"/>
              </w:rPr>
            </w:pPr>
            <w:r>
              <w:rPr>
                <w:rFonts w:hint="eastAsia" w:ascii="仿宋_GB2312" w:hAnsi="宋体" w:eastAsia="仿宋_GB2312" w:cs="仿宋_GB2312"/>
                <w:color w:val="000000"/>
                <w:sz w:val="24"/>
                <w:szCs w:val="24"/>
              </w:rPr>
              <w:t>C13．加强师德建设。所有教师严格遵守《中小学教师职业道德规范》，不歧视、侮辱、体罚或变相体罚学生，不进行有偿家教，不到社会培训机构兼职。师德考核与业务考核并重，师德表现作为教师考核、聘用和评价的首要内容。（5分）。</w:t>
            </w:r>
          </w:p>
        </w:tc>
        <w:tc>
          <w:tcPr>
            <w:tcW w:w="1260" w:type="dxa"/>
            <w:vAlign w:val="center"/>
          </w:tcPr>
          <w:p>
            <w:pPr>
              <w:jc w:val="center"/>
              <w:rPr>
                <w:rFonts w:ascii="宋体"/>
              </w:rPr>
            </w:pPr>
            <w:r>
              <w:rPr>
                <w:rFonts w:hint="eastAsia" w:asci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spacing w:line="360" w:lineRule="exact"/>
              <w:ind w:firstLine="482" w:firstLineChars="200"/>
              <w:rPr>
                <w:rFonts w:ascii="宋体" w:hAnsi="宋体" w:cs="宋体"/>
                <w:szCs w:val="21"/>
              </w:rPr>
            </w:pPr>
            <w:r>
              <w:rPr>
                <w:rFonts w:hint="eastAsia" w:ascii="宋体" w:hAnsi="宋体" w:cs="宋体"/>
                <w:b/>
                <w:bCs/>
                <w:sz w:val="24"/>
                <w:szCs w:val="21"/>
              </w:rPr>
              <w:t>C13：</w:t>
            </w:r>
            <w:r>
              <w:rPr>
                <w:rFonts w:hint="eastAsia" w:ascii="宋体" w:hAnsi="宋体" w:cs="宋体"/>
                <w:szCs w:val="21"/>
              </w:rPr>
              <w:t>学校的发展，关键是教师的发展。师德师风建设是教师队伍建设的首要任务。多年来，学校狠抓教师队伍师德建设，取得了显著成效。</w:t>
            </w:r>
          </w:p>
          <w:p>
            <w:pPr>
              <w:spacing w:line="360" w:lineRule="exact"/>
              <w:ind w:firstLine="422" w:firstLineChars="200"/>
              <w:rPr>
                <w:color w:val="FF0000"/>
                <w:shd w:val="clear" w:color="FFFFFF" w:fill="D9D9D9"/>
              </w:rPr>
            </w:pPr>
            <w:r>
              <w:rPr>
                <w:rFonts w:hint="eastAsia" w:ascii="宋体" w:hAnsi="宋体" w:cs="宋体"/>
                <w:b/>
                <w:bCs/>
                <w:szCs w:val="21"/>
              </w:rPr>
              <w:t>坚持师德师风价值引领，提升师德修养，激励教师专业发展。</w:t>
            </w:r>
            <w:r>
              <w:rPr>
                <w:rFonts w:hint="eastAsia" w:ascii="宋体" w:hAnsi="宋体" w:cs="宋体"/>
                <w:szCs w:val="21"/>
              </w:rPr>
              <w:t>学校坚持以校训“笃行”和“敬业、博学、慎行”的教风为准则，引导教师身体力行《中小学教师职业道德规范》，提出“教师职业行为五不准”等日常师德规范和工作纪律要求。学校深入开展社会主义核心价值观、教师职业道德规范的学习，切实提高全校教职工的“四个意识”和职业精神。学校扎实推进“政治理论学习”“师德建设月”“道德讲堂”等系列活动。签订师德责任状，完善师德考评办法，引领教师争做“三好四有”教师。学校定期开展“十佳师德标兵”、“星星点灯教育基金奖励教师”等评选活动，隆重表彰“三十年教龄乡村教师”。学校教师均能严格自觉遵守师德规范。近年来，学校涌现了一大批师德高尚、作风优良的教师，如常州市师德先进个人刘晏昌、武进区师德模范陈建平、</w:t>
            </w:r>
            <w:r>
              <w:rPr>
                <w:rFonts w:ascii="宋体" w:hAnsi="宋体" w:cs="宋体"/>
                <w:kern w:val="0"/>
                <w:szCs w:val="21"/>
              </w:rPr>
              <w:t>武进区“教育系统道德模范”提名奖</w:t>
            </w:r>
            <w:r>
              <w:rPr>
                <w:rFonts w:hint="eastAsia" w:ascii="宋体" w:hAnsi="宋体" w:cs="宋体"/>
                <w:kern w:val="0"/>
                <w:szCs w:val="21"/>
              </w:rPr>
              <w:t>张敏燕等</w:t>
            </w:r>
            <w:r>
              <w:rPr>
                <w:rFonts w:hint="eastAsia" w:ascii="宋体" w:hAnsi="宋体" w:cs="宋体"/>
                <w:szCs w:val="21"/>
              </w:rPr>
              <w:t>。</w:t>
            </w:r>
          </w:p>
          <w:p>
            <w:pPr>
              <w:spacing w:line="360" w:lineRule="exact"/>
              <w:ind w:firstLine="422" w:firstLineChars="200"/>
              <w:rPr>
                <w:rFonts w:ascii="宋体" w:hAnsi="宋体" w:cs="宋体"/>
                <w:szCs w:val="21"/>
              </w:rPr>
            </w:pPr>
            <w:r>
              <w:rPr>
                <w:rFonts w:hint="eastAsia" w:ascii="宋体" w:hAnsi="宋体" w:cs="宋体"/>
                <w:b/>
                <w:bCs/>
                <w:szCs w:val="21"/>
              </w:rPr>
              <w:t>把师德表现作为教师考核、聘用和评价的首要内容。</w:t>
            </w:r>
            <w:r>
              <w:rPr>
                <w:rFonts w:hint="eastAsia" w:ascii="宋体" w:hAnsi="宋体" w:cs="宋体"/>
                <w:szCs w:val="21"/>
              </w:rPr>
              <w:t>学校严格执行《常州市中小学教师八要十不师德自律规定》、《常州市中小学教师违规违纪行政处罚办法》、《武进区教育局关于重申严禁师德失范行为的规定》等制度和规定，进一步修订、完善了已有考核与奖励制度。在学校全员聘用制度、第二轮岗位设置聘任制度、专业技术岗位聘任条件、绩效考核方案、年度考核等聘用、考核、评价方案中，把师德表现作为首要内容，实行教师自评和学校考核相结合原则，坚持师德“一票否决制”。一支师德高尚，业务精湛，爱岗敬业，乐于奉献的教师队伍正在形成，有力地促进了学校可持续发展。</w:t>
            </w:r>
          </w:p>
          <w:p>
            <w:pPr>
              <w:spacing w:line="360" w:lineRule="exact"/>
              <w:ind w:firstLine="422" w:firstLineChars="200"/>
              <w:rPr>
                <w:rFonts w:ascii="宋体"/>
                <w:b/>
                <w:sz w:val="24"/>
              </w:rPr>
            </w:pPr>
            <w:r>
              <w:rPr>
                <w:rFonts w:hint="eastAsia" w:ascii="宋体" w:hAnsi="宋体" w:cs="宋体"/>
                <w:b/>
                <w:bCs/>
                <w:szCs w:val="21"/>
              </w:rPr>
              <w:t>严禁各类有偿家教、到社会机构兼职和体罚、变相体罚等违法违规行为。</w:t>
            </w:r>
            <w:r>
              <w:rPr>
                <w:rFonts w:hint="eastAsia" w:ascii="宋体" w:hAnsi="宋体" w:cs="宋体"/>
                <w:szCs w:val="21"/>
              </w:rPr>
              <w:t>学校召开全体教师会议，组织教师学习《教师法》、《教育法》、《未成年人保护法》和上级部门有关文件的精神。严禁各类有偿家教、到社会机构兼职和体罚、变相体罚等违法违规行为，并全员签订相关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rPr>
                <w:rFonts w:ascii="宋体"/>
                <w:b/>
                <w:sz w:val="24"/>
              </w:rPr>
            </w:pPr>
          </w:p>
        </w:tc>
      </w:tr>
    </w:tbl>
    <w:p>
      <w:pPr>
        <w:tabs>
          <w:tab w:val="left" w:pos="9135"/>
        </w:tabs>
        <w:ind w:right="428" w:rightChars="204"/>
        <w:rPr>
          <w:rFonts w:ascii="宋体"/>
        </w:rPr>
      </w:pPr>
      <w:r>
        <w:rPr>
          <w:rFonts w:hint="eastAsia" w:ascii="宋体"/>
        </w:rPr>
        <w:t>注：必查材料为实行全员聘任（用）制、岗位责任制、考核奖惩制的相关材料，近三年学生问卷、家长问卷及调查发现问题的处理意见。</w:t>
      </w:r>
    </w:p>
    <w:p>
      <w:pPr>
        <w:tabs>
          <w:tab w:val="left" w:pos="9135"/>
        </w:tabs>
        <w:ind w:right="428" w:rightChars="204"/>
        <w:rPr>
          <w:rFonts w:ascii="仿宋_GB2312" w:eastAsia="仿宋_GB2312"/>
          <w:color w:val="000000"/>
          <w:sz w:val="24"/>
        </w:rPr>
      </w:pP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spacing w:line="260" w:lineRule="exact"/>
              <w:ind w:right="-109" w:rightChars="-52"/>
              <w:rPr>
                <w:rFonts w:ascii="仿宋_GB2312" w:hAnsi="宋体" w:eastAsia="仿宋_GB2312"/>
                <w:color w:val="000000"/>
                <w:sz w:val="24"/>
                <w:szCs w:val="24"/>
              </w:rPr>
            </w:pPr>
            <w:r>
              <w:rPr>
                <w:rFonts w:hint="eastAsia" w:ascii="仿宋_GB2312" w:hAnsi="宋体" w:eastAsia="仿宋_GB2312" w:cs="仿宋_GB2312"/>
                <w:color w:val="000000"/>
                <w:sz w:val="24"/>
                <w:szCs w:val="24"/>
              </w:rPr>
              <w:t>B8．</w:t>
            </w:r>
          </w:p>
          <w:p>
            <w:pPr>
              <w:spacing w:line="260" w:lineRule="exact"/>
              <w:ind w:right="-109" w:rightChars="-52"/>
              <w:rPr>
                <w:rFonts w:ascii="仿宋_GB2312" w:hAnsi="宋体" w:eastAsia="仿宋_GB2312"/>
                <w:color w:val="000000"/>
                <w:sz w:val="24"/>
                <w:szCs w:val="24"/>
              </w:rPr>
            </w:pPr>
            <w:r>
              <w:rPr>
                <w:rFonts w:hint="eastAsia" w:ascii="仿宋_GB2312" w:hAnsi="宋体" w:eastAsia="仿宋_GB2312" w:cs="仿宋_GB2312"/>
                <w:color w:val="000000"/>
                <w:sz w:val="24"/>
                <w:szCs w:val="24"/>
              </w:rPr>
              <w:t>干部队伍</w:t>
            </w:r>
          </w:p>
          <w:p>
            <w:pPr>
              <w:spacing w:line="340" w:lineRule="exact"/>
              <w:jc w:val="center"/>
              <w:rPr>
                <w:rFonts w:ascii="仿宋_GB2312" w:eastAsia="仿宋_GB2312"/>
                <w:color w:val="000000"/>
                <w:sz w:val="24"/>
                <w:szCs w:val="24"/>
              </w:rPr>
            </w:pPr>
            <w:r>
              <w:rPr>
                <w:rFonts w:hint="eastAsia" w:ascii="仿宋_GB2312" w:hAnsi="宋体" w:eastAsia="仿宋_GB2312" w:cs="仿宋_GB2312"/>
                <w:color w:val="000000"/>
                <w:sz w:val="24"/>
                <w:szCs w:val="24"/>
              </w:rPr>
              <w:t>（5分）</w:t>
            </w:r>
          </w:p>
        </w:tc>
        <w:tc>
          <w:tcPr>
            <w:tcW w:w="6720" w:type="dxa"/>
            <w:vAlign w:val="center"/>
          </w:tcPr>
          <w:p>
            <w:pPr>
              <w:spacing w:line="318" w:lineRule="exact"/>
              <w:ind w:left="1"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C14．校长专业能力符合《校长专业标准》，端正办学思想，更新教育理念，提升治校能力。领导班子结构合理，熟悉业务，作风民主，团结协作，能力较强，水平较高</w:t>
            </w:r>
            <w:r>
              <w:rPr>
                <w:rFonts w:hint="eastAsia" w:ascii="仿宋_GB2312" w:hAnsi="宋体" w:eastAsia="仿宋_GB2312" w:cs="仿宋_GB2312"/>
                <w:b/>
                <w:bCs/>
                <w:color w:val="000000"/>
                <w:sz w:val="24"/>
                <w:szCs w:val="24"/>
              </w:rPr>
              <w:t>。</w:t>
            </w:r>
            <w:r>
              <w:rPr>
                <w:rFonts w:hint="eastAsia" w:ascii="仿宋_GB2312" w:hAnsi="宋体" w:eastAsia="仿宋_GB2312" w:cs="仿宋_GB2312"/>
                <w:color w:val="000000"/>
                <w:sz w:val="24"/>
                <w:szCs w:val="24"/>
              </w:rPr>
              <w:t>校长有多篇公开发表的论文，其中近5年大市级以上的不少于3篇。学校领导按规定兼课。每学期覆盖全学科的校内听课，校长不少于20节，分管校长不少于30节，其他副校长不少于20节，并能与教师及时交流</w:t>
            </w:r>
            <w:r>
              <w:rPr>
                <w:rFonts w:hint="eastAsia" w:ascii="仿宋_GB2312" w:hAnsi="宋体" w:eastAsia="仿宋_GB2312" w:cs="仿宋_GB2312"/>
                <w:b/>
                <w:bCs/>
                <w:color w:val="000000"/>
                <w:sz w:val="24"/>
                <w:szCs w:val="24"/>
              </w:rPr>
              <w:t>。</w:t>
            </w:r>
            <w:r>
              <w:rPr>
                <w:rFonts w:hint="eastAsia" w:ascii="仿宋_GB2312" w:hAnsi="宋体" w:eastAsia="仿宋_GB2312" w:cs="仿宋_GB2312"/>
                <w:color w:val="000000"/>
                <w:sz w:val="24"/>
                <w:szCs w:val="24"/>
              </w:rPr>
              <w:t>群众满意率达85%以上。（3分）</w:t>
            </w:r>
          </w:p>
          <w:p>
            <w:pPr>
              <w:spacing w:line="318" w:lineRule="exact"/>
              <w:ind w:left="1" w:firstLine="480" w:firstLineChars="200"/>
              <w:rPr>
                <w:rFonts w:ascii="仿宋_GB2312" w:eastAsia="仿宋_GB2312"/>
                <w:b/>
                <w:color w:val="FF0000"/>
                <w:sz w:val="24"/>
                <w:szCs w:val="24"/>
                <w:shd w:val="pct10" w:color="auto" w:fill="FFFFFF"/>
              </w:rPr>
            </w:pPr>
            <w:r>
              <w:rPr>
                <w:rFonts w:hint="eastAsia" w:ascii="仿宋_GB2312" w:hAnsi="宋体" w:eastAsia="仿宋_GB2312" w:cs="仿宋_GB2312"/>
                <w:color w:val="000000"/>
                <w:sz w:val="24"/>
                <w:szCs w:val="24"/>
              </w:rPr>
              <w:t>C15．学校机构健全，设置合理。中层干部任免程序规范，职责明确，执行力强，能起榜样示范作用。群众满意度达85%以上。（2分）</w:t>
            </w:r>
          </w:p>
        </w:tc>
        <w:tc>
          <w:tcPr>
            <w:tcW w:w="1260" w:type="dxa"/>
            <w:vAlign w:val="center"/>
          </w:tcPr>
          <w:p>
            <w:pPr>
              <w:jc w:val="center"/>
              <w:rPr>
                <w:rFonts w:ascii="宋体"/>
              </w:rPr>
            </w:pPr>
            <w:r>
              <w:rPr>
                <w:rFonts w:hint="eastAsia" w:asci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tabs>
                <w:tab w:val="left" w:pos="3990"/>
              </w:tabs>
              <w:spacing w:line="360" w:lineRule="exact"/>
              <w:ind w:firstLine="420" w:firstLineChars="200"/>
              <w:rPr>
                <w:rFonts w:ascii="宋体" w:hAnsi="宋体" w:cs="Arial"/>
                <w:kern w:val="0"/>
                <w:szCs w:val="21"/>
              </w:rPr>
            </w:pPr>
            <w:r>
              <w:rPr>
                <w:rFonts w:hint="eastAsia" w:ascii="宋体" w:hAnsi="宋体" w:cs="Arial"/>
                <w:kern w:val="0"/>
                <w:szCs w:val="21"/>
              </w:rPr>
              <w:t>学校重视干部队伍建设，努力建成一支“务实、创新、高效、和谐”的领导班子队伍。</w:t>
            </w:r>
          </w:p>
          <w:p>
            <w:pPr>
              <w:tabs>
                <w:tab w:val="left" w:pos="3990"/>
              </w:tabs>
              <w:spacing w:line="360" w:lineRule="exact"/>
              <w:ind w:firstLine="482" w:firstLineChars="200"/>
              <w:rPr>
                <w:rFonts w:ascii="宋体" w:hAnsi="宋体" w:cs="宋体"/>
                <w:bCs/>
                <w:kern w:val="0"/>
                <w:szCs w:val="21"/>
              </w:rPr>
            </w:pPr>
            <w:r>
              <w:rPr>
                <w:rFonts w:hint="eastAsia" w:ascii="宋体" w:hAnsi="宋体" w:cs="Arial"/>
                <w:b/>
                <w:kern w:val="0"/>
                <w:sz w:val="24"/>
                <w:szCs w:val="21"/>
              </w:rPr>
              <w:t>C14：</w:t>
            </w:r>
            <w:r>
              <w:rPr>
                <w:rFonts w:hint="eastAsia" w:ascii="宋体" w:hAnsi="宋体" w:cs="Arial"/>
                <w:b/>
                <w:kern w:val="0"/>
                <w:szCs w:val="21"/>
              </w:rPr>
              <w:t>校级领导班子。</w:t>
            </w:r>
            <w:r>
              <w:rPr>
                <w:rFonts w:hint="eastAsia" w:ascii="宋体" w:hAnsi="宋体" w:cs="Arial"/>
                <w:bCs/>
                <w:kern w:val="0"/>
                <w:szCs w:val="21"/>
              </w:rPr>
              <w:t>学校现任校级领导5人，其中1人正在援疆，平均年龄41人。领导班子思想端正，工作作风踏实，勇于担当。教学上，5位校级领导都按规定兼课、听课。校长每学期覆盖全学科校内听课不少于20节。副校长都坚守在学科教学第一线，每学期听课不少于30节。校级班子每年都向全体教职工述职述廉，群众满意度达90</w:t>
            </w:r>
            <w:r>
              <w:rPr>
                <w:rFonts w:hint="eastAsia" w:ascii="宋体" w:hAnsi="宋体" w:cs="宋体"/>
                <w:bCs/>
                <w:kern w:val="0"/>
                <w:szCs w:val="21"/>
              </w:rPr>
              <w:t>％以上。</w:t>
            </w:r>
          </w:p>
          <w:p>
            <w:pPr>
              <w:tabs>
                <w:tab w:val="left" w:pos="3990"/>
              </w:tabs>
              <w:spacing w:line="360" w:lineRule="exact"/>
              <w:ind w:firstLine="422" w:firstLineChars="200"/>
              <w:rPr>
                <w:rFonts w:ascii="宋体" w:hAnsi="宋体" w:cs="Arial"/>
                <w:b/>
                <w:kern w:val="0"/>
                <w:szCs w:val="21"/>
              </w:rPr>
            </w:pPr>
            <w:r>
              <w:rPr>
                <w:rFonts w:hint="eastAsia" w:ascii="宋体" w:hAnsi="宋体" w:cs="宋体"/>
                <w:b/>
                <w:kern w:val="0"/>
                <w:szCs w:val="21"/>
              </w:rPr>
              <w:t>校长办学思想正、办学理念新、治校能力强。</w:t>
            </w:r>
            <w:r>
              <w:rPr>
                <w:rFonts w:hint="eastAsia" w:ascii="宋体" w:hAnsi="宋体"/>
                <w:szCs w:val="21"/>
              </w:rPr>
              <w:t>校长、党支部书记沈纯芳，大学本科学历，中共党员，中学高级教师，常州市中学历史学科带头人，常州市和武进区中学历史教育专业委员会理事会理事。</w:t>
            </w:r>
            <w:r>
              <w:rPr>
                <w:rFonts w:hint="eastAsia" w:ascii="宋体" w:hAnsi="宋体" w:cs="Arial"/>
                <w:kern w:val="0"/>
                <w:szCs w:val="21"/>
              </w:rPr>
              <w:t>曾获</w:t>
            </w:r>
            <w:r>
              <w:rPr>
                <w:rFonts w:hint="eastAsia" w:ascii="宋体" w:hAnsi="宋体"/>
                <w:szCs w:val="21"/>
              </w:rPr>
              <w:t>全国先进实验工作者</w:t>
            </w:r>
            <w:r>
              <w:rPr>
                <w:rFonts w:hint="eastAsia" w:ascii="宋体" w:hAnsi="宋体" w:cs="Arial"/>
                <w:kern w:val="0"/>
                <w:szCs w:val="21"/>
              </w:rPr>
              <w:t>、全国科教研先进校长、江苏省</w:t>
            </w:r>
            <w:r>
              <w:rPr>
                <w:rFonts w:hint="eastAsia" w:ascii="宋体" w:hAnsi="宋体"/>
                <w:szCs w:val="21"/>
              </w:rPr>
              <w:t>优秀青少年科技教育校长</w:t>
            </w:r>
            <w:r>
              <w:rPr>
                <w:rFonts w:hint="eastAsia" w:ascii="宋体" w:hAnsi="宋体" w:cs="Arial"/>
                <w:kern w:val="0"/>
                <w:szCs w:val="21"/>
              </w:rPr>
              <w:t>、常州市</w:t>
            </w:r>
            <w:r>
              <w:rPr>
                <w:rFonts w:hint="eastAsia" w:ascii="宋体" w:hAnsi="宋体"/>
                <w:szCs w:val="21"/>
              </w:rPr>
              <w:t>优秀党务工作者</w:t>
            </w:r>
            <w:r>
              <w:rPr>
                <w:rFonts w:hint="eastAsia" w:ascii="宋体" w:hAnsi="宋体" w:cs="Arial"/>
                <w:kern w:val="0"/>
                <w:szCs w:val="21"/>
              </w:rPr>
              <w:t>、常州市优秀班主任等荣誉称号，多次受到武进区政府嘉奖。</w:t>
            </w:r>
          </w:p>
          <w:p>
            <w:pPr>
              <w:tabs>
                <w:tab w:val="left" w:pos="3990"/>
              </w:tabs>
              <w:spacing w:line="360" w:lineRule="exact"/>
              <w:ind w:firstLine="420" w:firstLineChars="200"/>
              <w:rPr>
                <w:color w:val="000000"/>
                <w:szCs w:val="21"/>
              </w:rPr>
            </w:pPr>
            <w:r>
              <w:rPr>
                <w:rFonts w:hint="eastAsia" w:ascii="宋体" w:hAnsi="宋体"/>
                <w:szCs w:val="21"/>
              </w:rPr>
              <w:t>沈校长</w:t>
            </w:r>
            <w:r>
              <w:rPr>
                <w:rFonts w:ascii="宋体" w:hAnsi="宋体"/>
                <w:szCs w:val="21"/>
              </w:rPr>
              <w:t>1986年</w:t>
            </w:r>
            <w:r>
              <w:rPr>
                <w:rFonts w:hint="eastAsia" w:ascii="宋体" w:hAnsi="宋体"/>
                <w:szCs w:val="21"/>
              </w:rPr>
              <w:t>8月毕业分配到</w:t>
            </w:r>
            <w:r>
              <w:rPr>
                <w:rFonts w:ascii="宋体" w:hAnsi="宋体"/>
                <w:szCs w:val="21"/>
              </w:rPr>
              <w:t>洛阳中学任教</w:t>
            </w:r>
            <w:r>
              <w:rPr>
                <w:rFonts w:hint="eastAsia" w:ascii="宋体" w:hAnsi="宋体"/>
                <w:szCs w:val="21"/>
              </w:rPr>
              <w:t>至今， 31年坚守乡村教师岗位。2010年8月起任洛阳中学校长、党总支书记；2013年5月初、高中分设，2013年7月起任洛阳高级中学校长、党支部书记。</w:t>
            </w:r>
            <w:r>
              <w:rPr>
                <w:rFonts w:hint="eastAsia" w:ascii="宋体" w:hAnsi="宋体" w:cs="Arial"/>
                <w:kern w:val="0"/>
                <w:szCs w:val="21"/>
              </w:rPr>
              <w:t>沈校长秉承“以生为本”的教育理念，着眼于学校和师生的全面发展、主动发展和长远发展，积极倡导</w:t>
            </w:r>
            <w:r>
              <w:rPr>
                <w:rFonts w:hint="eastAsia" w:ascii="宋体" w:hAnsi="宋体"/>
                <w:szCs w:val="21"/>
              </w:rPr>
              <w:t>“让学生收获成功”的办学理念。</w:t>
            </w:r>
            <w:r>
              <w:rPr>
                <w:rFonts w:hint="eastAsia"/>
                <w:color w:val="000000"/>
                <w:szCs w:val="21"/>
              </w:rPr>
              <w:t>学校严格贯彻落实党的教育方针，依据立德树人、能力为重、全面发展的素质教育要求，根据本校学生实际，确立学校的学生培养目标为：强化社会主义核心价值观教育，着力提高学生的综合素养，把学生培养成为身心健康、人格健全、学业优良、富有个性的时代青年。</w:t>
            </w:r>
          </w:p>
          <w:p>
            <w:pPr>
              <w:tabs>
                <w:tab w:val="left" w:pos="3990"/>
              </w:tabs>
              <w:spacing w:line="360" w:lineRule="exact"/>
              <w:ind w:firstLine="420" w:firstLineChars="200"/>
              <w:rPr>
                <w:color w:val="000000"/>
                <w:szCs w:val="21"/>
              </w:rPr>
            </w:pPr>
            <w:r>
              <w:rPr>
                <w:rFonts w:hint="eastAsia" w:ascii="宋体" w:hAnsi="宋体" w:cs="Arial"/>
                <w:kern w:val="0"/>
                <w:szCs w:val="21"/>
              </w:rPr>
              <w:t>在先进办学理念的引领下，</w:t>
            </w:r>
            <w:r>
              <w:rPr>
                <w:rFonts w:hint="eastAsia" w:ascii="宋体" w:hAnsi="宋体"/>
                <w:szCs w:val="21"/>
              </w:rPr>
              <w:t>沈校长坚持“多元发展，特色强校”的办学思想，并确立了“以艺术教育特色为龙头，全面提升办学质量”的行动策略，</w:t>
            </w:r>
            <w:r>
              <w:rPr>
                <w:rFonts w:hint="eastAsia"/>
                <w:color w:val="000000"/>
                <w:szCs w:val="21"/>
              </w:rPr>
              <w:t>学校基于学生的个性特长构建学生多元的发展平台，以艺术教育特色为重点引领教师不断丰富职业生涯，为学生差异发展、多样发展创造条件，并由此实现学校的主动发展，内涵发展，特色发展，优质发展。近年来，学校艺术教育特色品牌已经形成。学校高水平的艺术师资、系统化的艺术课程、实力雄厚的艺术科研，享誉常武，辐射周边。</w:t>
            </w:r>
            <w:r>
              <w:rPr>
                <w:rFonts w:hint="eastAsia"/>
                <w:szCs w:val="21"/>
              </w:rPr>
              <w:t>学校先后获得了“江苏省艺术教育特色学校”“全国百强特色学校”等荣誉称号。2013年5月在沈校长领导下，学校成功实现初高中分设，并于当年创建四星高中。</w:t>
            </w:r>
            <w:r>
              <w:rPr>
                <w:rFonts w:hint="eastAsia"/>
                <w:color w:val="000000"/>
                <w:szCs w:val="21"/>
              </w:rPr>
              <w:t>2014年3月学校成功晋升为四星级普通高中，实现了学校办学质量的重大突破和飞跃式发展。</w:t>
            </w:r>
          </w:p>
          <w:p>
            <w:pPr>
              <w:tabs>
                <w:tab w:val="left" w:pos="3990"/>
              </w:tabs>
              <w:spacing w:line="360" w:lineRule="exact"/>
              <w:ind w:firstLine="422" w:firstLineChars="200"/>
              <w:rPr>
                <w:rFonts w:ascii="宋体" w:hAnsi="宋体" w:cs="Arial"/>
                <w:kern w:val="0"/>
                <w:szCs w:val="21"/>
              </w:rPr>
            </w:pPr>
            <w:r>
              <w:rPr>
                <w:rFonts w:hint="eastAsia" w:ascii="宋体" w:hAnsi="宋体" w:cs="Arial"/>
                <w:b/>
                <w:kern w:val="0"/>
                <w:szCs w:val="21"/>
              </w:rPr>
              <w:t>校长引领教育科研。</w:t>
            </w:r>
            <w:r>
              <w:rPr>
                <w:rFonts w:hint="eastAsia" w:ascii="宋体" w:hAnsi="宋体" w:cs="Arial"/>
                <w:kern w:val="0"/>
                <w:szCs w:val="21"/>
              </w:rPr>
              <w:t>沈校长注重教育教学理论的学习提高，曾赴新加坡教育考察，先后参加清华大学、中山大学、浙江大学等知名大学的高级研修班培训，并将所学理论结合本校实际确定研究方向和主题，并带领教师积极开展实践研究。2011年9月至2016年10月，先后主持了国家级课题《学校艺术教育培养和发展学生健全人格的研究》《骨干</w:t>
            </w:r>
            <w:r>
              <w:rPr>
                <w:rFonts w:hint="eastAsia" w:ascii="宋体" w:hAnsi="宋体"/>
                <w:szCs w:val="21"/>
              </w:rPr>
              <w:t>教师培养及对教师队伍建设影响的研究》</w:t>
            </w:r>
            <w:r>
              <w:rPr>
                <w:rFonts w:hint="eastAsia" w:ascii="宋体" w:hAnsi="宋体" w:cs="Arial"/>
                <w:kern w:val="0"/>
                <w:szCs w:val="21"/>
              </w:rPr>
              <w:t>《</w:t>
            </w:r>
            <w:r>
              <w:rPr>
                <w:rFonts w:hint="eastAsia" w:ascii="宋体" w:hAnsi="宋体" w:cs="宋体"/>
                <w:color w:val="000000"/>
                <w:kern w:val="0"/>
                <w:szCs w:val="21"/>
              </w:rPr>
              <w:t>校本课程开发对高中教师专业发展作用的实践研究</w:t>
            </w:r>
            <w:r>
              <w:rPr>
                <w:rFonts w:hint="eastAsia" w:ascii="宋体" w:hAnsi="宋体" w:cs="Arial"/>
                <w:kern w:val="0"/>
                <w:szCs w:val="21"/>
              </w:rPr>
              <w:t>》《</w:t>
            </w:r>
            <w:r>
              <w:rPr>
                <w:rFonts w:hint="eastAsia" w:ascii="宋体" w:hAnsi="宋体" w:cs="宋体"/>
                <w:color w:val="000000"/>
                <w:kern w:val="0"/>
                <w:szCs w:val="21"/>
              </w:rPr>
              <w:t>激发学生正能量，发展生命教育的研</w:t>
            </w:r>
            <w:r>
              <w:rPr>
                <w:rFonts w:hint="eastAsia" w:ascii="宋体" w:hAnsi="宋体"/>
                <w:szCs w:val="21"/>
              </w:rPr>
              <w:t>究和实践》、江苏省“十二五”规划课题《学校艺术教育三维课程开发的案例研究》以及江苏省重点课题《基于学科素养的史料教学优化研究》的研究</w:t>
            </w:r>
            <w:r>
              <w:rPr>
                <w:rFonts w:hint="eastAsia" w:ascii="宋体" w:hAnsi="宋体" w:cs="Arial"/>
                <w:kern w:val="0"/>
                <w:szCs w:val="21"/>
              </w:rPr>
              <w:t>，研究成果得到专家充分肯定。</w:t>
            </w:r>
          </w:p>
          <w:p>
            <w:pPr>
              <w:spacing w:line="360" w:lineRule="exact"/>
              <w:ind w:firstLine="407" w:firstLineChars="194"/>
              <w:rPr>
                <w:rFonts w:ascii="宋体" w:hAnsi="宋体"/>
                <w:szCs w:val="21"/>
              </w:rPr>
            </w:pPr>
            <w:r>
              <w:rPr>
                <w:rFonts w:hint="eastAsia" w:ascii="宋体" w:hAnsi="宋体" w:cs="宋体"/>
                <w:szCs w:val="21"/>
              </w:rPr>
              <w:t>在主持课题研究的过程中，沈校长积极撰写教育教学论文，学科类论文《</w:t>
            </w:r>
            <w:r>
              <w:rPr>
                <w:rFonts w:hint="eastAsia" w:ascii="宋体" w:hAnsi="宋体"/>
                <w:szCs w:val="21"/>
              </w:rPr>
              <w:t>高中历史小论文题型分析与复习策略</w:t>
            </w:r>
            <w:r>
              <w:rPr>
                <w:rFonts w:hint="eastAsia" w:ascii="宋体" w:hAnsi="宋体" w:cs="宋体"/>
                <w:szCs w:val="21"/>
              </w:rPr>
              <w:t>》《</w:t>
            </w:r>
            <w:r>
              <w:rPr>
                <w:rFonts w:hint="eastAsia" w:ascii="宋体" w:hAnsi="宋体"/>
                <w:szCs w:val="21"/>
              </w:rPr>
              <w:t>探寻历史通感教学的有效途径</w:t>
            </w:r>
            <w:r>
              <w:rPr>
                <w:rFonts w:hint="eastAsia" w:ascii="宋体" w:hAnsi="宋体" w:cs="宋体"/>
                <w:szCs w:val="21"/>
              </w:rPr>
              <w:t>》，管理类论文《</w:t>
            </w:r>
            <w:r>
              <w:rPr>
                <w:rFonts w:hint="eastAsia" w:ascii="宋体" w:hAnsi="宋体"/>
                <w:szCs w:val="21"/>
              </w:rPr>
              <w:t>坚持不懈推进素质教育，锐意创新强化特色发展——学校特色建设的经验与做法</w:t>
            </w:r>
            <w:r>
              <w:rPr>
                <w:rFonts w:hint="eastAsia" w:ascii="宋体" w:hAnsi="宋体" w:cs="宋体"/>
                <w:szCs w:val="21"/>
              </w:rPr>
              <w:t>》《</w:t>
            </w:r>
            <w:r>
              <w:rPr>
                <w:rFonts w:hint="eastAsia" w:ascii="宋体" w:hAnsi="宋体"/>
                <w:szCs w:val="21"/>
              </w:rPr>
              <w:t>创新学校文化建设，促进学校高位发展</w:t>
            </w:r>
            <w:r>
              <w:rPr>
                <w:rFonts w:hint="eastAsia" w:ascii="宋体" w:hAnsi="宋体" w:cs="宋体"/>
                <w:szCs w:val="21"/>
              </w:rPr>
              <w:t>》《</w:t>
            </w:r>
            <w:r>
              <w:rPr>
                <w:rFonts w:hint="eastAsia" w:ascii="宋体" w:hAnsi="宋体"/>
                <w:szCs w:val="21"/>
              </w:rPr>
              <w:t>特色教育优质发展的实践思考</w:t>
            </w:r>
            <w:r>
              <w:rPr>
                <w:rFonts w:hint="eastAsia" w:ascii="宋体" w:hAnsi="宋体" w:cs="宋体"/>
                <w:szCs w:val="21"/>
              </w:rPr>
              <w:t>》《</w:t>
            </w:r>
            <w:r>
              <w:rPr>
                <w:rFonts w:hint="eastAsia" w:ascii="宋体" w:hAnsi="宋体"/>
                <w:szCs w:val="21"/>
              </w:rPr>
              <w:t>立人为本——构建开放的课堂教学模式</w:t>
            </w:r>
            <w:r>
              <w:rPr>
                <w:rFonts w:hint="eastAsia" w:ascii="宋体" w:hAnsi="宋体" w:cs="宋体"/>
                <w:szCs w:val="21"/>
              </w:rPr>
              <w:t>》《</w:t>
            </w:r>
            <w:r>
              <w:rPr>
                <w:rFonts w:hint="eastAsia" w:ascii="宋体" w:hAnsi="宋体"/>
                <w:szCs w:val="21"/>
              </w:rPr>
              <w:t>在学生德育教育中贯穿生命教育的研究与实践》</w:t>
            </w:r>
            <w:r>
              <w:rPr>
                <w:rFonts w:hint="eastAsia" w:ascii="宋体" w:hAnsi="宋体" w:cs="宋体"/>
                <w:szCs w:val="21"/>
              </w:rPr>
              <w:t>等7篇论文先后在《</w:t>
            </w:r>
            <w:r>
              <w:rPr>
                <w:rFonts w:hint="eastAsia" w:ascii="宋体" w:hAnsi="宋体"/>
                <w:szCs w:val="21"/>
              </w:rPr>
              <w:t>教育理论与实践</w:t>
            </w:r>
            <w:r>
              <w:rPr>
                <w:rFonts w:hint="eastAsia" w:ascii="宋体" w:hAnsi="宋体" w:cs="宋体"/>
                <w:szCs w:val="21"/>
              </w:rPr>
              <w:t>》《</w:t>
            </w:r>
            <w:r>
              <w:rPr>
                <w:rFonts w:hint="eastAsia" w:ascii="宋体" w:hAnsi="宋体"/>
                <w:szCs w:val="21"/>
              </w:rPr>
              <w:t>考试周刊</w:t>
            </w:r>
            <w:r>
              <w:rPr>
                <w:rFonts w:hint="eastAsia" w:ascii="宋体" w:hAnsi="宋体" w:cs="宋体"/>
                <w:szCs w:val="21"/>
              </w:rPr>
              <w:t>》《</w:t>
            </w:r>
            <w:r>
              <w:rPr>
                <w:rFonts w:hint="eastAsia" w:ascii="宋体" w:hAnsi="宋体"/>
                <w:szCs w:val="21"/>
              </w:rPr>
              <w:t>中国名校成功之路</w:t>
            </w:r>
            <w:r>
              <w:rPr>
                <w:rFonts w:hint="eastAsia" w:ascii="宋体" w:hAnsi="宋体" w:cs="宋体"/>
                <w:szCs w:val="21"/>
              </w:rPr>
              <w:t>》《教育旬刊》</w:t>
            </w:r>
            <w:r>
              <w:rPr>
                <w:rFonts w:hint="eastAsia" w:ascii="宋体" w:hAnsi="宋体"/>
                <w:szCs w:val="21"/>
              </w:rPr>
              <w:t>《江苏教育报》《语言文字报》</w:t>
            </w:r>
            <w:r>
              <w:rPr>
                <w:rFonts w:hint="eastAsia" w:ascii="宋体" w:hAnsi="宋体" w:cs="宋体"/>
                <w:szCs w:val="21"/>
              </w:rPr>
              <w:t>等省级及以上刊物发表或获奖。沈校长还积极投入校本课程的开发，主持撰写的校本课程《</w:t>
            </w:r>
            <w:r>
              <w:rPr>
                <w:rFonts w:hint="eastAsia" w:ascii="宋体" w:hAnsi="宋体"/>
                <w:szCs w:val="21"/>
              </w:rPr>
              <w:t>艺术与人生</w:t>
            </w:r>
            <w:r>
              <w:rPr>
                <w:rFonts w:hint="eastAsia" w:ascii="宋体" w:hAnsi="宋体" w:cs="宋体"/>
                <w:szCs w:val="21"/>
              </w:rPr>
              <w:t>》，获</w:t>
            </w:r>
            <w:r>
              <w:rPr>
                <w:rFonts w:hint="eastAsia" w:ascii="宋体" w:hAnsi="宋体"/>
                <w:szCs w:val="21"/>
              </w:rPr>
              <w:t>江苏省校本课程优秀成果评选三等奖，并作为优质教学资源在兄弟学校中广泛推广。</w:t>
            </w:r>
            <w:r>
              <w:rPr>
                <w:rFonts w:hint="eastAsia" w:ascii="宋体" w:hAnsi="宋体" w:cs="宋体"/>
                <w:szCs w:val="21"/>
              </w:rPr>
              <w:t>在沈校长的带动影响下，学校形成了良好的教科研氛围。在沈校长的主动引领下，全校教师围绕重点课题和办学特色，积极推进“生本课堂”教学改革</w:t>
            </w:r>
            <w:r>
              <w:rPr>
                <w:rFonts w:hint="eastAsia" w:ascii="宋体" w:hAnsi="宋体"/>
                <w:szCs w:val="21"/>
              </w:rPr>
              <w:t>。</w:t>
            </w:r>
          </w:p>
          <w:p>
            <w:pPr>
              <w:adjustRightInd w:val="0"/>
              <w:spacing w:line="360" w:lineRule="exact"/>
              <w:ind w:firstLine="482" w:firstLineChars="200"/>
              <w:jc w:val="left"/>
              <w:rPr>
                <w:rFonts w:ascii="宋体" w:hAnsi="宋体" w:cs="Arial"/>
                <w:b/>
                <w:kern w:val="0"/>
                <w:szCs w:val="21"/>
              </w:rPr>
            </w:pPr>
            <w:r>
              <w:rPr>
                <w:rFonts w:hint="eastAsia" w:ascii="宋体" w:hAnsi="宋体"/>
                <w:b/>
                <w:bCs/>
                <w:sz w:val="24"/>
                <w:szCs w:val="21"/>
              </w:rPr>
              <w:t>C15：</w:t>
            </w:r>
            <w:r>
              <w:rPr>
                <w:rFonts w:hint="eastAsia" w:ascii="宋体" w:hAnsi="宋体" w:cs="Arial"/>
                <w:b/>
                <w:kern w:val="0"/>
                <w:szCs w:val="21"/>
              </w:rPr>
              <w:t>学校机构健全，设置合理。</w:t>
            </w:r>
            <w:r>
              <w:rPr>
                <w:rFonts w:hint="eastAsia" w:ascii="宋体" w:hAnsi="宋体" w:cs="Arial"/>
                <w:bCs/>
                <w:kern w:val="0"/>
                <w:szCs w:val="21"/>
              </w:rPr>
              <w:t>学校校长室下设党政办、政教处、教研处、财务处和总务处等机构。学校建有党支部，支部委员会领导工会、团委和教代会。机构设置合理，各部门各司其职，协作紧密。</w:t>
            </w:r>
          </w:p>
          <w:p>
            <w:pPr>
              <w:spacing w:line="360" w:lineRule="exact"/>
              <w:ind w:firstLine="422" w:firstLineChars="200"/>
              <w:rPr>
                <w:color w:val="FF0000"/>
                <w:shd w:val="clear" w:color="FFFFFF" w:fill="D9D9D9"/>
              </w:rPr>
            </w:pPr>
            <w:r>
              <w:rPr>
                <w:rFonts w:hint="eastAsia"/>
                <w:b/>
              </w:rPr>
              <w:t>中层干部任免程序规范</w:t>
            </w:r>
            <w:r>
              <w:rPr>
                <w:rFonts w:hint="eastAsia"/>
              </w:rPr>
              <w:t>。学校坚持公开公平公正地选拔任用中层干部。2016年学校二届三次教代会审议通过《洛阳高级中学首轮中层干部竞聘方案》，现学校中层干部有</w:t>
            </w:r>
            <w:r>
              <w:rPr>
                <w:rFonts w:hint="eastAsia"/>
                <w:color w:val="000000"/>
              </w:rPr>
              <w:t>11</w:t>
            </w:r>
            <w:r>
              <w:rPr>
                <w:rFonts w:hint="eastAsia"/>
              </w:rPr>
              <w:t>人，均按照竞聘方案，通过个人申报、演讲答辩、民主选举、校长聘任等公开竞聘的方式走向管理岗位。</w:t>
            </w:r>
          </w:p>
          <w:p>
            <w:pPr>
              <w:tabs>
                <w:tab w:val="left" w:pos="3990"/>
              </w:tabs>
              <w:spacing w:line="360" w:lineRule="exact"/>
              <w:ind w:firstLine="422" w:firstLineChars="200"/>
              <w:rPr>
                <w:rFonts w:ascii="宋体"/>
                <w:b/>
                <w:sz w:val="24"/>
              </w:rPr>
            </w:pPr>
            <w:r>
              <w:rPr>
                <w:rFonts w:hint="eastAsia" w:ascii="宋体" w:hAnsi="宋体" w:cs="Arial"/>
                <w:b/>
                <w:kern w:val="0"/>
                <w:szCs w:val="21"/>
              </w:rPr>
              <w:t>中层干部队伍整体素质好,团结协作,有前瞻的观念、服务的意识、实干的精神,在师生员工中有较高威信。</w:t>
            </w:r>
            <w:r>
              <w:rPr>
                <w:rFonts w:hint="eastAsia"/>
              </w:rPr>
              <w:t>中层队伍求真务实，紧密团结，分工合作，具有大局意识。考虑问题、处理事务能以学校利益为先，以服务师生为先，争做表率，争先做事。中层干部以身作则，吃苦在前，享受在后，勇挑重担。11人平均年龄38岁，11人均为中共党员，较好地发挥了党员的先锋模范作用，其中9人担任班主任工作。中层干部主动接受师生员工的民主监督，每学年面向全校教职工述职述廉并进行满意度测评，群众满意度皆达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91" w:type="dxa"/>
            <w:gridSpan w:val="3"/>
            <w:vAlign w:val="center"/>
          </w:tcPr>
          <w:p>
            <w:pPr>
              <w:rPr>
                <w:rFonts w:ascii="宋体"/>
                <w:b/>
                <w:sz w:val="24"/>
              </w:rPr>
            </w:pPr>
          </w:p>
        </w:tc>
      </w:tr>
    </w:tbl>
    <w:p>
      <w:pPr>
        <w:rPr>
          <w:rFonts w:ascii="宋体"/>
        </w:rPr>
      </w:pPr>
      <w:r>
        <w:rPr>
          <w:rFonts w:hint="eastAsia" w:ascii="宋体"/>
        </w:rPr>
        <w:t>注：注：必查材料为校长近五年内发表的管理类论文、听课记录、有关领导班子和干部作风建设的材料。</w:t>
      </w: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spacing w:line="260" w:lineRule="exact"/>
              <w:ind w:right="-109" w:rightChars="-52"/>
              <w:rPr>
                <w:rFonts w:ascii="仿宋_GB2312" w:hAnsi="宋体" w:eastAsia="仿宋_GB2312"/>
                <w:color w:val="000000"/>
                <w:sz w:val="24"/>
                <w:szCs w:val="24"/>
              </w:rPr>
            </w:pPr>
            <w:r>
              <w:rPr>
                <w:rFonts w:hint="eastAsia" w:ascii="仿宋_GB2312" w:hAnsi="宋体" w:eastAsia="仿宋_GB2312" w:cs="仿宋_GB2312"/>
                <w:color w:val="000000"/>
                <w:sz w:val="24"/>
                <w:szCs w:val="24"/>
              </w:rPr>
              <w:t>9．</w:t>
            </w:r>
          </w:p>
          <w:p>
            <w:pPr>
              <w:spacing w:line="260" w:lineRule="exact"/>
              <w:ind w:right="-109" w:rightChars="-52"/>
              <w:rPr>
                <w:rFonts w:ascii="仿宋_GB2312" w:hAnsi="宋体" w:eastAsia="仿宋_GB2312"/>
                <w:color w:val="000000"/>
                <w:sz w:val="24"/>
                <w:szCs w:val="24"/>
              </w:rPr>
            </w:pPr>
            <w:r>
              <w:rPr>
                <w:rFonts w:hint="eastAsia" w:ascii="仿宋_GB2312" w:hAnsi="宋体" w:eastAsia="仿宋_GB2312" w:cs="仿宋_GB2312"/>
                <w:color w:val="000000"/>
                <w:sz w:val="24"/>
                <w:szCs w:val="24"/>
              </w:rPr>
              <w:t>教师发展</w:t>
            </w:r>
          </w:p>
          <w:p>
            <w:pPr>
              <w:spacing w:line="340" w:lineRule="exact"/>
              <w:jc w:val="center"/>
              <w:rPr>
                <w:rFonts w:ascii="仿宋_GB2312" w:eastAsia="仿宋_GB2312"/>
                <w:color w:val="000000"/>
                <w:sz w:val="24"/>
                <w:szCs w:val="24"/>
              </w:rPr>
            </w:pPr>
            <w:r>
              <w:rPr>
                <w:rFonts w:hint="eastAsia" w:ascii="仿宋_GB2312" w:hAnsi="宋体" w:eastAsia="仿宋_GB2312" w:cs="仿宋_GB2312"/>
                <w:color w:val="000000"/>
                <w:sz w:val="24"/>
                <w:szCs w:val="24"/>
              </w:rPr>
              <w:t>（15分）</w:t>
            </w:r>
          </w:p>
        </w:tc>
        <w:tc>
          <w:tcPr>
            <w:tcW w:w="6720" w:type="dxa"/>
            <w:vAlign w:val="center"/>
          </w:tcPr>
          <w:p>
            <w:pPr>
              <w:spacing w:line="318" w:lineRule="exact"/>
              <w:ind w:left="1"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C16．配齐配足专任教师及教学辅助人员。专任教师学历达标率100%</w:t>
            </w:r>
            <w:r>
              <w:rPr>
                <w:rFonts w:hint="eastAsia" w:ascii="仿宋_GB2312" w:hAnsi="宋体" w:eastAsia="仿宋_GB2312" w:cs="仿宋_GB2312"/>
                <w:b/>
                <w:bCs/>
                <w:color w:val="000000"/>
                <w:sz w:val="24"/>
                <w:szCs w:val="24"/>
              </w:rPr>
              <w:t>，</w:t>
            </w:r>
            <w:r>
              <w:rPr>
                <w:rFonts w:hint="eastAsia" w:ascii="仿宋_GB2312" w:hAnsi="宋体" w:eastAsia="仿宋_GB2312" w:cs="仿宋_GB2312"/>
                <w:color w:val="000000"/>
                <w:sz w:val="24"/>
                <w:szCs w:val="24"/>
              </w:rPr>
              <w:t>研究生学历（学位）以上的比例占20％以上，中高级专业技术职务教师占60％以上</w:t>
            </w:r>
            <w:r>
              <w:rPr>
                <w:rFonts w:hint="eastAsia" w:ascii="仿宋_GB2312" w:hAnsi="宋体" w:eastAsia="仿宋_GB2312" w:cs="仿宋_GB2312"/>
                <w:b/>
                <w:bCs/>
                <w:color w:val="000000"/>
                <w:sz w:val="24"/>
                <w:szCs w:val="24"/>
              </w:rPr>
              <w:t>。</w:t>
            </w:r>
            <w:r>
              <w:rPr>
                <w:rFonts w:hint="eastAsia" w:ascii="仿宋_GB2312" w:hAnsi="宋体" w:eastAsia="仿宋_GB2312" w:cs="仿宋_GB2312"/>
                <w:color w:val="000000"/>
                <w:sz w:val="24"/>
                <w:szCs w:val="24"/>
              </w:rPr>
              <w:t>音体美等学科专职教师比例达100%</w:t>
            </w:r>
            <w:r>
              <w:rPr>
                <w:rFonts w:hint="eastAsia" w:ascii="仿宋_GB2312" w:hAnsi="宋体" w:eastAsia="仿宋_GB2312" w:cs="黑体"/>
                <w:b/>
                <w:bCs/>
                <w:color w:val="000000"/>
                <w:sz w:val="24"/>
                <w:szCs w:val="24"/>
              </w:rPr>
              <w:t>。</w:t>
            </w:r>
            <w:r>
              <w:rPr>
                <w:rFonts w:hint="eastAsia" w:ascii="仿宋_GB2312" w:hAnsi="宋体" w:eastAsia="仿宋_GB2312" w:cs="仿宋_GB2312"/>
                <w:color w:val="000000"/>
                <w:sz w:val="24"/>
                <w:szCs w:val="24"/>
              </w:rPr>
              <w:t>图书馆、校医室、实验室工作人员多数具有中级以上职称。（3分）</w:t>
            </w:r>
          </w:p>
          <w:p>
            <w:pPr>
              <w:spacing w:line="318" w:lineRule="exact"/>
              <w:ind w:left="1"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C17．50%以上的学科有区级骨干教师及以上优秀教师</w:t>
            </w:r>
            <w:r>
              <w:rPr>
                <w:rFonts w:hint="eastAsia" w:ascii="仿宋_GB2312" w:hAnsi="宋体" w:eastAsia="仿宋_GB2312" w:cs="仿宋_GB2312"/>
                <w:b/>
                <w:bCs/>
                <w:color w:val="000000"/>
                <w:sz w:val="24"/>
                <w:szCs w:val="24"/>
              </w:rPr>
              <w:t>，</w:t>
            </w:r>
            <w:r>
              <w:rPr>
                <w:rFonts w:hint="eastAsia" w:ascii="仿宋_GB2312" w:hAnsi="宋体" w:eastAsia="仿宋_GB2312" w:cs="仿宋_GB2312"/>
                <w:color w:val="000000"/>
                <w:sz w:val="24"/>
                <w:szCs w:val="24"/>
              </w:rPr>
              <w:t>40%的学科有市级以上的学科带头人等教学骨干，四星级普通高中至少有1名省特级教师或特级教师后备人才</w:t>
            </w:r>
            <w:r>
              <w:rPr>
                <w:rFonts w:hint="eastAsia" w:ascii="仿宋_GB2312" w:hAnsi="宋体" w:eastAsia="仿宋_GB2312" w:cs="仿宋_GB2312"/>
                <w:b/>
                <w:bCs/>
                <w:color w:val="000000"/>
                <w:sz w:val="24"/>
                <w:szCs w:val="24"/>
              </w:rPr>
              <w:t>。</w:t>
            </w:r>
            <w:r>
              <w:rPr>
                <w:rFonts w:hint="eastAsia" w:ascii="仿宋_GB2312" w:hAnsi="宋体" w:eastAsia="仿宋_GB2312" w:cs="仿宋_GB2312"/>
                <w:color w:val="000000"/>
                <w:sz w:val="24"/>
                <w:szCs w:val="24"/>
              </w:rPr>
              <w:t>学校每年新增市级五级梯队教师人数不低于本校教师的2%。专任教师中辖市、区级以上中青年骨干教师和学科带头人占30％以上，其中市级占比达10％以上，区级学科带头人以上称号人员不低于本校教师的5%，不低于上年度区域平均值。（3分）</w:t>
            </w:r>
          </w:p>
          <w:p>
            <w:pPr>
              <w:spacing w:line="318" w:lineRule="exact"/>
              <w:ind w:left="1"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C18．校本研修制度健全。教师专业发展规划完善，档案信息完整，考核机制健全。专任教师全员培训完成率达100%，年均不低于72学时，其中校本培训36学时。实施教师信息技术应用能力提升工程，每位教师完成不少于50学时的专项培训，每年至少开展校级以上数字化学习活动一次，“常州市教师发展信息化平台”数据完整。（3分）</w:t>
            </w:r>
          </w:p>
          <w:p>
            <w:pPr>
              <w:spacing w:line="318" w:lineRule="exact"/>
              <w:ind w:left="1"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C19．60%以上的专任教师积极参与“一师一优课，一课一名师”活动，其中获市级“优课”达10%。90%以上的教师拥有网络教学或科研空间。50%以上的学科有辖市、区级以上教育科研课题或实验项目，教师参与率不低于80%，有切合实际的阶段成果。校内公开课、研究课活动常态化；每学年举办对外公开课、展示课活动。市级以上研究课题不少于5项，其中省级以上研究课题不少于2项。（3分）</w:t>
            </w:r>
          </w:p>
          <w:p>
            <w:pPr>
              <w:spacing w:line="318" w:lineRule="exact"/>
              <w:ind w:left="1" w:firstLine="482" w:firstLineChars="200"/>
              <w:rPr>
                <w:rFonts w:ascii="仿宋_GB2312" w:eastAsia="仿宋_GB2312"/>
                <w:b/>
                <w:color w:val="FF0000"/>
                <w:sz w:val="24"/>
                <w:szCs w:val="24"/>
                <w:shd w:val="pct10" w:color="auto" w:fill="FFFFFF"/>
              </w:rPr>
            </w:pPr>
          </w:p>
        </w:tc>
        <w:tc>
          <w:tcPr>
            <w:tcW w:w="1260" w:type="dxa"/>
            <w:vAlign w:val="center"/>
          </w:tcPr>
          <w:p>
            <w:pPr>
              <w:jc w:val="center"/>
              <w:rPr>
                <w:rFonts w:ascii="宋体"/>
              </w:rPr>
            </w:pPr>
            <w:r>
              <w:rPr>
                <w:rFonts w:hint="eastAsia" w:ascii="宋体"/>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spacing w:line="260" w:lineRule="exact"/>
              <w:ind w:right="-109" w:rightChars="-52"/>
              <w:rPr>
                <w:rFonts w:ascii="仿宋_GB2312" w:hAnsi="宋体" w:eastAsia="仿宋_GB2312" w:cs="仿宋_GB2312"/>
                <w:color w:val="000000"/>
                <w:sz w:val="24"/>
                <w:szCs w:val="24"/>
              </w:rPr>
            </w:pPr>
          </w:p>
        </w:tc>
        <w:tc>
          <w:tcPr>
            <w:tcW w:w="6720" w:type="dxa"/>
            <w:vAlign w:val="center"/>
          </w:tcPr>
          <w:p>
            <w:pPr>
              <w:spacing w:line="318" w:lineRule="exact"/>
              <w:ind w:left="1"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C20.教师业务能力强，逐步形成自己的教育特点和风格。有较多的教师在辖市、区级以上学科教师基本功竞赛及评优课等活动中获较高层次的奖励，每年有1名以上教师在市、省级课堂教学或基本功竞赛中获奖。有引领学校发展的省规划课题或省教研课题。有占比10%的教师在公开出版刊物上发表论文，其中省级以上刊物占比不低于3%。有研究项目在市及以上级别的科研成果评选中获奖。（3分）</w:t>
            </w:r>
          </w:p>
        </w:tc>
        <w:tc>
          <w:tcPr>
            <w:tcW w:w="1260"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ind w:firstLine="420" w:firstLineChars="200"/>
              <w:rPr>
                <w:rFonts w:ascii="宋体" w:hAnsi="宋体" w:cs="宋体"/>
                <w:color w:val="000000"/>
                <w:szCs w:val="21"/>
              </w:rPr>
            </w:pPr>
            <w:r>
              <w:rPr>
                <w:rFonts w:hint="eastAsia" w:ascii="宋体" w:hAnsi="宋体" w:cs="宋体"/>
                <w:color w:val="000000"/>
                <w:szCs w:val="21"/>
              </w:rPr>
              <w:t>学校以建设学习型校园、学习型团队为载体，进一步健全引领教师主动发展的校本研修机制。</w:t>
            </w:r>
          </w:p>
          <w:p>
            <w:pPr>
              <w:spacing w:line="360" w:lineRule="exact"/>
              <w:ind w:left="2" w:leftChars="1" w:firstLine="422" w:firstLineChars="200"/>
              <w:rPr>
                <w:rFonts w:ascii="宋体" w:hAnsi="宋体"/>
                <w:szCs w:val="21"/>
              </w:rPr>
            </w:pPr>
            <w:r>
              <w:rPr>
                <w:rFonts w:hint="eastAsia" w:ascii="宋体" w:hAnsi="宋体"/>
                <w:b/>
                <w:bCs/>
                <w:szCs w:val="21"/>
              </w:rPr>
              <w:t>C16：学校配齐配足专任教师以及教学辅助人员。学</w:t>
            </w:r>
            <w:r>
              <w:rPr>
                <w:rFonts w:hint="eastAsia" w:ascii="宋体" w:hAnsi="宋体"/>
                <w:szCs w:val="21"/>
              </w:rPr>
              <w:t>校有教职工107人，其中专任教师97人，专任教师本科以上学历为100%。学校有硕士研究生（含在读）共20人，占专任教师比例的20.6</w:t>
            </w:r>
            <w:r>
              <w:rPr>
                <w:rFonts w:ascii="宋体" w:hAnsi="宋体"/>
                <w:szCs w:val="21"/>
              </w:rPr>
              <w:t>%</w:t>
            </w:r>
            <w:r>
              <w:rPr>
                <w:rFonts w:hint="eastAsia" w:ascii="宋体" w:hAnsi="宋体"/>
                <w:szCs w:val="21"/>
              </w:rPr>
              <w:t>；专任教师中，中高级职称合计占82%；学校有专职体育教师</w:t>
            </w:r>
            <w:r>
              <w:rPr>
                <w:rFonts w:ascii="宋体" w:hAnsi="宋体"/>
                <w:szCs w:val="21"/>
              </w:rPr>
              <w:t>5</w:t>
            </w:r>
            <w:r>
              <w:rPr>
                <w:rFonts w:hint="eastAsia" w:ascii="宋体" w:hAnsi="宋体"/>
                <w:szCs w:val="21"/>
              </w:rPr>
              <w:t>人，美术教师</w:t>
            </w:r>
            <w:r>
              <w:rPr>
                <w:rFonts w:ascii="宋体" w:hAnsi="宋体"/>
                <w:szCs w:val="21"/>
              </w:rPr>
              <w:t>8</w:t>
            </w:r>
            <w:r>
              <w:rPr>
                <w:rFonts w:hint="eastAsia" w:ascii="宋体" w:hAnsi="宋体"/>
                <w:szCs w:val="21"/>
              </w:rPr>
              <w:t>人，音乐教师</w:t>
            </w:r>
            <w:r>
              <w:rPr>
                <w:rFonts w:ascii="宋体" w:hAnsi="宋体"/>
                <w:szCs w:val="21"/>
              </w:rPr>
              <w:t>4</w:t>
            </w:r>
            <w:r>
              <w:rPr>
                <w:rFonts w:hint="eastAsia" w:ascii="宋体" w:hAnsi="宋体"/>
                <w:szCs w:val="21"/>
              </w:rPr>
              <w:t>人，专职教师比例达100%。图书馆、实验室工作人员共5人，中级以上职称3人，占60%。图书馆、实验室非专业出身人员均接受过专业岗位培训，并取得合格证书。学校医务室有1名医生。</w:t>
            </w:r>
          </w:p>
          <w:p>
            <w:pPr>
              <w:spacing w:line="360" w:lineRule="exact"/>
              <w:ind w:firstLine="422" w:firstLineChars="200"/>
              <w:rPr>
                <w:rFonts w:ascii="宋体" w:hAnsi="宋体"/>
                <w:szCs w:val="21"/>
              </w:rPr>
            </w:pPr>
            <w:r>
              <w:rPr>
                <w:rFonts w:ascii="宋体" w:hAnsi="宋体"/>
                <w:b/>
                <w:bCs/>
                <w:szCs w:val="21"/>
              </w:rPr>
              <w:t>C17</w:t>
            </w:r>
            <w:r>
              <w:rPr>
                <w:rFonts w:hint="eastAsia" w:ascii="宋体" w:hAnsi="宋体"/>
                <w:b/>
                <w:bCs/>
                <w:szCs w:val="21"/>
              </w:rPr>
              <w:t>：不断提升教师水平。</w:t>
            </w:r>
            <w:r>
              <w:rPr>
                <w:rFonts w:hint="eastAsia" w:ascii="宋体" w:hAnsi="宋体"/>
                <w:szCs w:val="21"/>
              </w:rPr>
              <w:t>学校坚持以增强教师业务能力为目标，以全员培训、青蓝工程、教育科研为主要抓手，不断提升教师专业水平。学校有区级骨干及以上优秀教师32人，学科涉及语文、数学、英语、政治、历史、地理、物理、化学、生物、体育、美术、信息，占所有学科的85.7%。学校有市级以上的五级梯队人员共25人，学科涉及语文、数学、英语、政治、历史、地理、化学、生物、体育、美术，共十门学科，占高中所有学科的71.4%。作为一所四星级普通高中，学校有江苏省特级教师1人，常州市特级教师后备人才1人。近三年，学校共新增五级梯队人员4人,年均增加人数达本校教师数的1.4%。专任教师中辖市、区级以上中青年骨干教师和学科带头人占33%，其中市级以上25人，占25.8%，区级学科带头人以上称号人员达到本校教师总数的29.9%，高于区域平均值。</w:t>
            </w:r>
          </w:p>
          <w:p>
            <w:pPr>
              <w:spacing w:line="360" w:lineRule="exact"/>
              <w:ind w:left="1" w:firstLine="482" w:firstLineChars="200"/>
              <w:rPr>
                <w:rFonts w:ascii="宋体" w:hAnsi="宋体" w:cs="宋体"/>
                <w:color w:val="000000"/>
                <w:szCs w:val="21"/>
              </w:rPr>
            </w:pPr>
            <w:r>
              <w:rPr>
                <w:rFonts w:hint="eastAsia" w:ascii="宋体" w:hAnsi="宋体" w:cs="宋体"/>
                <w:b/>
                <w:color w:val="000000"/>
                <w:sz w:val="24"/>
                <w:szCs w:val="21"/>
              </w:rPr>
              <w:t>C18：</w:t>
            </w:r>
            <w:r>
              <w:rPr>
                <w:rFonts w:hint="eastAsia" w:ascii="宋体" w:hAnsi="宋体" w:cs="宋体"/>
                <w:b/>
                <w:bCs/>
                <w:color w:val="000000"/>
                <w:szCs w:val="21"/>
              </w:rPr>
              <w:t>校本研修制度健全，全员培训到位。</w:t>
            </w:r>
            <w:r>
              <w:rPr>
                <w:rFonts w:hint="eastAsia" w:ascii="宋体" w:hAnsi="宋体" w:cs="宋体"/>
                <w:color w:val="000000"/>
                <w:szCs w:val="21"/>
              </w:rPr>
              <w:t>学校高度重视教师培训工作，健全校本培训工作管理制度,建立教师培训档案。制定了《洛阳高级中学校本培训制度》《洛阳高级中学2014—2016年校本培训三年规划》《洛阳高级中学2014—2018年校本培训五年规划》等管理制度，并确立了《洛阳高级中学教师校本培训考核评价表》《洛阳高级中学教师教学常规考核办法》《洛阳高级中学奖励性绩效工资考核实施方案》等评价、激励制度，保证了学校培训工作的制度化、常态化实施。在学校集中组织培训的同时，还组织每位教师依据本人实际和发展潜力，制定3年个人专业发展规划，确定个人专业发展、努力提高的目标，并拟定措施切实实施。近三年专任教师全员培训完成率达100%，教师参加的各级各类培训年均102学时，其中校本培训年均36学时。学校十分注重提升教师信息技术应用能力，每位教师完成50学时的专项培训，每年至少开展校级以上数字化学习活动一次，“常州市教师发展信息化平台”数据完整。</w:t>
            </w:r>
          </w:p>
          <w:p>
            <w:pPr>
              <w:spacing w:line="360" w:lineRule="exact"/>
              <w:ind w:firstLine="472" w:firstLineChars="196"/>
              <w:rPr>
                <w:rFonts w:ascii="宋体"/>
                <w:szCs w:val="21"/>
              </w:rPr>
            </w:pPr>
            <w:r>
              <w:rPr>
                <w:rFonts w:hint="eastAsia" w:ascii="宋体"/>
                <w:b/>
                <w:sz w:val="24"/>
                <w:szCs w:val="21"/>
              </w:rPr>
              <w:t>C19：</w:t>
            </w:r>
            <w:r>
              <w:rPr>
                <w:rFonts w:hint="eastAsia" w:ascii="宋体"/>
                <w:b/>
                <w:szCs w:val="21"/>
              </w:rPr>
              <w:t>教师积极参加教科研项目。</w:t>
            </w:r>
            <w:r>
              <w:rPr>
                <w:rFonts w:hint="eastAsia" w:ascii="宋体"/>
                <w:szCs w:val="21"/>
              </w:rPr>
              <w:t>近年来学校教师积极参加“一师一优课，一课一名师”活动，参与总人数占专任教师的62%</w:t>
            </w:r>
            <w:r>
              <w:rPr>
                <w:rFonts w:hint="eastAsia" w:ascii="宋体"/>
                <w:color w:val="FF0000"/>
                <w:szCs w:val="21"/>
              </w:rPr>
              <w:t xml:space="preserve"> </w:t>
            </w:r>
            <w:r>
              <w:rPr>
                <w:rFonts w:hint="eastAsia" w:ascii="宋体"/>
                <w:szCs w:val="21"/>
              </w:rPr>
              <w:t>，该比例远远高于区内其他学校。其中2016年获市级及以上“优课”的教师有9人，占当年晒课总数的20%</w:t>
            </w:r>
            <w:r>
              <w:rPr>
                <w:rFonts w:hint="eastAsia" w:ascii="宋体"/>
                <w:color w:val="FF0000"/>
                <w:szCs w:val="21"/>
              </w:rPr>
              <w:t xml:space="preserve"> </w:t>
            </w:r>
            <w:r>
              <w:rPr>
                <w:rFonts w:hint="eastAsia" w:ascii="宋体"/>
                <w:szCs w:val="21"/>
              </w:rPr>
              <w:t>。</w:t>
            </w:r>
          </w:p>
          <w:p>
            <w:pPr>
              <w:spacing w:line="360" w:lineRule="exact"/>
              <w:ind w:firstLine="420" w:firstLineChars="200"/>
              <w:rPr>
                <w:rFonts w:ascii="宋体"/>
                <w:szCs w:val="21"/>
              </w:rPr>
            </w:pPr>
            <w:r>
              <w:rPr>
                <w:rFonts w:hint="eastAsia" w:ascii="宋体"/>
                <w:szCs w:val="21"/>
              </w:rPr>
              <w:t>学校教师积极利用QQ平台、区智慧教育云平台、校园网等网络资源进行教学交流和科研。学校教师QQ办公群有全体教师群、班主任群、年级教师群、教研组长备课组长群以及各学科教师群等，教师可在群里上传和下载各种教学有关文件文档。学校全体教师均已注册并使用武进智慧教育云平台，该平台的使用拓展了教师自我发展空间。学校校园网“教育教学”和“教育科研”两个栏目上传发布教育科研内容，教师们可及时查看相关信息。</w:t>
            </w:r>
          </w:p>
          <w:p>
            <w:pPr>
              <w:spacing w:line="360" w:lineRule="exact"/>
              <w:ind w:firstLine="420" w:firstLineChars="200"/>
              <w:rPr>
                <w:rFonts w:ascii="宋体" w:hAnsi="宋体"/>
                <w:szCs w:val="21"/>
              </w:rPr>
            </w:pPr>
            <w:r>
              <w:rPr>
                <w:rFonts w:hint="eastAsia" w:ascii="宋体" w:hAnsi="宋体"/>
                <w:szCs w:val="21"/>
              </w:rPr>
              <w:t>近年来，学校围绕“以课题研究为载体，走内涵发展之路”这一教研工作总体思路，</w:t>
            </w:r>
            <w:r>
              <w:rPr>
                <w:rFonts w:hint="eastAsia"/>
                <w:szCs w:val="21"/>
              </w:rPr>
              <w:t>积极开展课题研究工作，构建了省、市、区、校等多级课题。目前，学校</w:t>
            </w:r>
            <w:r>
              <w:rPr>
                <w:rFonts w:hint="eastAsia" w:ascii="宋体" w:hAnsi="宋体"/>
                <w:szCs w:val="21"/>
              </w:rPr>
              <w:t>承担省级课题3个，市级课题 3个，区级课题 5个，政治学科组还承担了公民教育实践活动项目。这些课题和项目涉及的学科有语文、数学、英语、历史、物理、生物、化学、美术、政治等9门学科，占学科比例为69.2%；参与教师人数占教师总人数的84.1%。所有课题均有相关研究论文发表在省级及以上刊物或获奖。2014年起，学校积极倡导教师进行微型课题研究，全体教师积极参与，边教边研，边研边教，积极探索教学规律，努力提高教学效率和质量。</w:t>
            </w:r>
          </w:p>
          <w:p>
            <w:pPr>
              <w:spacing w:line="360" w:lineRule="exact"/>
              <w:ind w:firstLine="422" w:firstLineChars="200"/>
              <w:rPr>
                <w:rFonts w:ascii="宋体"/>
                <w:szCs w:val="21"/>
              </w:rPr>
            </w:pPr>
            <w:r>
              <w:rPr>
                <w:rFonts w:hint="eastAsia" w:ascii="宋体"/>
                <w:b/>
                <w:szCs w:val="21"/>
              </w:rPr>
              <w:t>学校公开课开设常态化。</w:t>
            </w:r>
            <w:r>
              <w:rPr>
                <w:rFonts w:hint="eastAsia" w:ascii="宋体"/>
                <w:szCs w:val="21"/>
              </w:rPr>
              <w:t>学校坚持开展校内“生本课堂”交流课，每个学科组每周有固定时间进行备课组活动和教研组活动，教研处安排保证每一位教师每学期至少一次校内公开课或者研究课活动，促进学科组的建设和发展。学校每学年举办至少一次以“打造生本课堂，提升学生素养”为主题的对外公开课、展示课，公开展示课堂教学，并听取专家和同行的宝贵意见。</w:t>
            </w:r>
          </w:p>
          <w:p>
            <w:pPr>
              <w:spacing w:line="360" w:lineRule="exact"/>
              <w:ind w:firstLine="472" w:firstLineChars="196"/>
              <w:rPr>
                <w:rFonts w:ascii="宋体"/>
                <w:szCs w:val="21"/>
              </w:rPr>
            </w:pPr>
            <w:r>
              <w:rPr>
                <w:rFonts w:hint="eastAsia" w:ascii="宋体"/>
                <w:b/>
                <w:sz w:val="24"/>
                <w:szCs w:val="21"/>
              </w:rPr>
              <w:t>C20：</w:t>
            </w:r>
            <w:r>
              <w:rPr>
                <w:rFonts w:hint="eastAsia" w:ascii="宋体"/>
                <w:b/>
                <w:szCs w:val="21"/>
              </w:rPr>
              <w:t>教师参加基本功竞赛成绩突出。</w:t>
            </w:r>
            <w:r>
              <w:rPr>
                <w:rFonts w:hint="eastAsia" w:ascii="宋体"/>
                <w:szCs w:val="21"/>
              </w:rPr>
              <w:t>学校教师在一线教学过程中逐渐形成自己的教育特点和风格，并积极参加区级及以上评优课、说课比赛等活动且取得较好成绩。如2014年孙小欢老师获常州市高中物理教师优秀课评比二等奖、政治组李佳英老师获公民教育实践活动课评比常州市二等奖等；2015年赵洁老师获全国第四届“教育艺术杯”语文课堂教学大赛一等奖、王超老师获第六届全国中学语文说课大赛一等奖等；2016年樊耀平老师获常州市通用技术青年教师基本功大赛三等奖、张标等9位教师在晒课活动评比中获市级以上“优课”奖，其中物理组张标老师、美术组吴燕老师获“部优”奖，数学组邹国强老师、美术组刘新茹老师、历史组崔勇老师获“省优”奖，另有宣建英等4位老师获“市优”奖。</w:t>
            </w:r>
          </w:p>
          <w:p>
            <w:pPr>
              <w:spacing w:line="360" w:lineRule="exact"/>
              <w:ind w:firstLine="422" w:firstLineChars="200"/>
              <w:rPr>
                <w:rFonts w:ascii="宋体"/>
                <w:szCs w:val="21"/>
              </w:rPr>
            </w:pPr>
            <w:r>
              <w:rPr>
                <w:rFonts w:hint="eastAsia" w:ascii="宋体" w:hAnsi="宋体"/>
                <w:b/>
                <w:bCs/>
                <w:szCs w:val="21"/>
              </w:rPr>
              <w:t>以省规划课题引领学校艺术教育发展。</w:t>
            </w:r>
            <w:r>
              <w:rPr>
                <w:rFonts w:hint="eastAsia" w:ascii="宋体" w:hAnsi="宋体"/>
                <w:bCs/>
                <w:szCs w:val="21"/>
              </w:rPr>
              <w:t>学校为艺术特色学校，学校</w:t>
            </w:r>
            <w:r>
              <w:rPr>
                <w:rFonts w:hint="eastAsia" w:ascii="宋体" w:hAnsi="宋体" w:cs="宋体"/>
                <w:kern w:val="0"/>
                <w:szCs w:val="21"/>
              </w:rPr>
              <w:t>依托省“十二五”规划课题《学校艺术教育三维课程开发的案例研究》，就学校艺术课程建设进行深入研究。经过多年的探索和实践，逐步形成了以“艺术教育”为特色的多元发展办学新思路，</w:t>
            </w:r>
            <w:r>
              <w:rPr>
                <w:rFonts w:hint="eastAsia" w:ascii="宋体" w:hAnsi="宋体" w:cs="宋体"/>
                <w:bCs/>
                <w:kern w:val="0"/>
                <w:szCs w:val="21"/>
              </w:rPr>
              <w:t>培养学生的艺术欣赏能力，全面提升学生的综合素质。</w:t>
            </w:r>
          </w:p>
          <w:p>
            <w:pPr>
              <w:spacing w:line="360" w:lineRule="exact"/>
              <w:ind w:left="1" w:firstLine="422" w:firstLineChars="200"/>
              <w:rPr>
                <w:rFonts w:ascii="宋体"/>
                <w:b/>
                <w:sz w:val="24"/>
              </w:rPr>
            </w:pPr>
            <w:r>
              <w:rPr>
                <w:rFonts w:hint="eastAsia" w:ascii="宋体"/>
                <w:b/>
                <w:szCs w:val="21"/>
              </w:rPr>
              <w:t>教师积极撰写、发表论文。</w:t>
            </w:r>
            <w:r>
              <w:rPr>
                <w:rFonts w:hint="eastAsia" w:ascii="宋体"/>
                <w:szCs w:val="21"/>
              </w:rPr>
              <w:t>2014年以来，学校教师在省级及以上公开刊物上发表论文共88篇，参与教师人数占教师总数的35.5%。</w:t>
            </w:r>
            <w:r>
              <w:rPr>
                <w:rFonts w:hint="eastAsia" w:ascii="宋体" w:hAnsi="宋体"/>
                <w:szCs w:val="21"/>
              </w:rPr>
              <w:t>教育科研有力的推进了学校和教师的发展。</w:t>
            </w:r>
            <w:r>
              <w:rPr>
                <w:rFonts w:hint="eastAsia" w:ascii="仿宋_GB2312" w:hAnsi="宋体" w:eastAsia="仿宋_GB2312" w:cs="仿宋_GB2312"/>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rPr>
                <w:rFonts w:ascii="宋体"/>
                <w:b/>
                <w:sz w:val="24"/>
              </w:rPr>
            </w:pPr>
          </w:p>
        </w:tc>
      </w:tr>
    </w:tbl>
    <w:p>
      <w:pPr>
        <w:rPr>
          <w:rFonts w:hint="eastAsia" w:ascii="宋体"/>
        </w:rPr>
      </w:pPr>
      <w:r>
        <w:rPr>
          <w:rFonts w:hint="eastAsia" w:ascii="宋体"/>
        </w:rPr>
        <w:t>注：必查材料为学校近三学年度教科研工作计划及总结、学科组活动计划及总结、备课组活动记录、课题研究相关材料、近三学年度教师公开发表论文或获奖论文一览表；骨干教师相关荣誉证书、获奖证书，三室人员职称证书，校本培训制度与培训规划，教师个人专业发展规划书（抽样），近三年学校对外开设公开课材料。</w:t>
      </w:r>
    </w:p>
    <w:p>
      <w:pPr>
        <w:rPr>
          <w:rFonts w:ascii="宋体"/>
        </w:rPr>
      </w:pPr>
    </w:p>
    <w:p>
      <w:pPr>
        <w:rPr>
          <w:rFonts w:ascii="宋体"/>
        </w:rPr>
      </w:pP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spacing w:line="260" w:lineRule="exact"/>
              <w:rPr>
                <w:rFonts w:ascii="仿宋_GB2312" w:eastAsia="仿宋_GB2312" w:cs="宋体"/>
                <w:color w:val="000000"/>
                <w:sz w:val="24"/>
                <w:szCs w:val="24"/>
              </w:rPr>
            </w:pPr>
            <w:r>
              <w:rPr>
                <w:rFonts w:hint="eastAsia" w:ascii="仿宋_GB2312" w:hAnsi="宋体" w:eastAsia="仿宋_GB2312" w:cs="宋体"/>
                <w:color w:val="000000"/>
                <w:sz w:val="24"/>
                <w:szCs w:val="24"/>
              </w:rPr>
              <w:t>B10．</w:t>
            </w:r>
          </w:p>
          <w:p>
            <w:pPr>
              <w:spacing w:line="34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招生分班</w:t>
            </w:r>
          </w:p>
          <w:p>
            <w:pPr>
              <w:spacing w:line="340" w:lineRule="exact"/>
              <w:jc w:val="center"/>
              <w:rPr>
                <w:rFonts w:ascii="仿宋_GB2312" w:eastAsia="仿宋_GB2312"/>
                <w:color w:val="000000"/>
                <w:sz w:val="24"/>
                <w:szCs w:val="24"/>
              </w:rPr>
            </w:pPr>
            <w:r>
              <w:rPr>
                <w:rFonts w:hint="eastAsia" w:ascii="仿宋_GB2312" w:hAnsi="宋体" w:eastAsia="仿宋_GB2312" w:cs="宋体"/>
                <w:color w:val="000000"/>
                <w:sz w:val="24"/>
                <w:szCs w:val="24"/>
              </w:rPr>
              <w:t>（4分）</w:t>
            </w:r>
          </w:p>
        </w:tc>
        <w:tc>
          <w:tcPr>
            <w:tcW w:w="6720" w:type="dxa"/>
            <w:vAlign w:val="center"/>
          </w:tcPr>
          <w:p>
            <w:pPr>
              <w:spacing w:line="260" w:lineRule="exact"/>
              <w:ind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C21．</w:t>
            </w:r>
            <w:r>
              <w:rPr>
                <w:rFonts w:hint="eastAsia" w:ascii="仿宋_GB2312" w:hAnsi="宋体" w:eastAsia="仿宋_GB2312" w:cs="宋体"/>
                <w:color w:val="000000"/>
                <w:kern w:val="0"/>
                <w:sz w:val="24"/>
                <w:szCs w:val="24"/>
              </w:rPr>
              <w:t>公办学校不以民办名义招生</w:t>
            </w:r>
            <w:r>
              <w:rPr>
                <w:rFonts w:hint="eastAsia" w:ascii="仿宋_GB2312" w:hAnsi="宋体" w:eastAsia="仿宋_GB2312" w:cs="宋体"/>
                <w:color w:val="000000"/>
                <w:sz w:val="24"/>
                <w:szCs w:val="24"/>
              </w:rPr>
              <w:t>。没有跨市招生、招收复读生、无档案录取等违规招生行为；不擅立项目或提高标准向学生额外收取入学费用。办学规模、班额更加合理。（2分）</w:t>
            </w:r>
          </w:p>
          <w:p>
            <w:pPr>
              <w:spacing w:line="260" w:lineRule="exact"/>
              <w:ind w:firstLine="480" w:firstLineChars="200"/>
              <w:rPr>
                <w:rFonts w:ascii="仿宋_GB2312" w:eastAsia="仿宋_GB2312" w:cs="宋体"/>
                <w:color w:val="000000"/>
                <w:sz w:val="24"/>
                <w:szCs w:val="24"/>
              </w:rPr>
            </w:pPr>
            <w:r>
              <w:rPr>
                <w:rFonts w:hint="eastAsia" w:ascii="仿宋_GB2312" w:hAnsi="宋体" w:eastAsia="仿宋_GB2312" w:cs="宋体"/>
                <w:color w:val="000000"/>
                <w:sz w:val="24"/>
                <w:szCs w:val="24"/>
              </w:rPr>
              <w:t>C22．实行阳光分班。平行班的班额、师资、条件相对均衡，不以实验班、兴趣班、特色班、教改班等名义变相设置重点班。学籍实行信息化，严格管理</w:t>
            </w:r>
            <w:r>
              <w:rPr>
                <w:rFonts w:hint="eastAsia" w:ascii="仿宋_GB2312" w:hAnsi="宋体" w:eastAsia="仿宋_GB2312" w:cs="宋体"/>
                <w:b/>
                <w:bCs/>
                <w:color w:val="000000"/>
                <w:sz w:val="24"/>
                <w:szCs w:val="24"/>
              </w:rPr>
              <w:t>。</w:t>
            </w:r>
            <w:r>
              <w:rPr>
                <w:rFonts w:hint="eastAsia" w:ascii="仿宋_GB2312" w:hAnsi="宋体" w:eastAsia="仿宋_GB2312" w:cs="宋体"/>
                <w:color w:val="000000"/>
                <w:sz w:val="24"/>
                <w:szCs w:val="24"/>
              </w:rPr>
              <w:t>（2分）</w:t>
            </w:r>
          </w:p>
        </w:tc>
        <w:tc>
          <w:tcPr>
            <w:tcW w:w="1260" w:type="dxa"/>
            <w:vAlign w:val="center"/>
          </w:tcPr>
          <w:p>
            <w:pPr>
              <w:jc w:val="center"/>
              <w:rPr>
                <w:rFonts w:ascii="宋体"/>
              </w:rPr>
            </w:pPr>
            <w:r>
              <w:rPr>
                <w:rFonts w:hint="eastAsia" w:ascii="宋体"/>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spacing w:line="360" w:lineRule="exact"/>
              <w:ind w:left="1" w:firstLine="420" w:firstLineChars="200"/>
              <w:rPr>
                <w:rFonts w:ascii="宋体" w:hAnsi="宋体" w:cs="宋体"/>
                <w:bCs/>
                <w:color w:val="000000"/>
                <w:szCs w:val="21"/>
              </w:rPr>
            </w:pPr>
            <w:r>
              <w:rPr>
                <w:rFonts w:hint="eastAsia" w:ascii="宋体" w:hAnsi="宋体" w:cs="宋体"/>
                <w:bCs/>
                <w:color w:val="000000"/>
                <w:szCs w:val="21"/>
              </w:rPr>
              <w:t>学校严格按照上级教育部门要求规范招生工作，严格管理学籍和分班等工作。</w:t>
            </w:r>
          </w:p>
          <w:p>
            <w:pPr>
              <w:spacing w:line="360" w:lineRule="exact"/>
              <w:ind w:left="1" w:firstLine="482" w:firstLineChars="200"/>
              <w:rPr>
                <w:rFonts w:ascii="宋体" w:hAnsi="宋体" w:cs="宋体"/>
                <w:color w:val="000000"/>
                <w:szCs w:val="21"/>
              </w:rPr>
            </w:pPr>
            <w:r>
              <w:rPr>
                <w:rFonts w:hint="eastAsia" w:ascii="宋体" w:hAnsi="宋体" w:cs="宋体"/>
                <w:b/>
                <w:bCs/>
                <w:color w:val="000000"/>
                <w:sz w:val="24"/>
                <w:szCs w:val="21"/>
              </w:rPr>
              <w:t>C21：</w:t>
            </w:r>
            <w:r>
              <w:rPr>
                <w:rFonts w:hint="eastAsia" w:ascii="宋体" w:hAnsi="宋体" w:cs="宋体"/>
                <w:b/>
                <w:bCs/>
                <w:color w:val="000000"/>
                <w:szCs w:val="21"/>
              </w:rPr>
              <w:t>招生规范，收费公开。</w:t>
            </w:r>
            <w:r>
              <w:rPr>
                <w:rFonts w:hint="eastAsia" w:ascii="宋体" w:hAnsi="宋体" w:cs="宋体"/>
                <w:color w:val="000000"/>
                <w:szCs w:val="21"/>
              </w:rPr>
              <w:t>学校严格执行上级教育部门的招生政策，没有跨市招生、无档案招生,不招收复读生，所有招生均按照武进区招办下发录取库进行录取。学校办学规模、班额合理，现每班平均人数为46.6人。学校严格执行收费标准和收费纪律，不额外收费。每学期期初都按照规定做到收费公示，坚决杜绝乱办学、乱招生、乱收费现象。</w:t>
            </w:r>
          </w:p>
          <w:p>
            <w:pPr>
              <w:spacing w:line="360" w:lineRule="exact"/>
              <w:ind w:firstLine="482" w:firstLineChars="200"/>
              <w:rPr>
                <w:rFonts w:ascii="宋体"/>
                <w:b/>
                <w:sz w:val="24"/>
              </w:rPr>
            </w:pPr>
            <w:r>
              <w:rPr>
                <w:rFonts w:hint="eastAsia" w:ascii="宋体" w:hAnsi="宋体" w:cs="宋体"/>
                <w:b/>
                <w:bCs/>
                <w:color w:val="000000"/>
                <w:sz w:val="24"/>
                <w:szCs w:val="21"/>
              </w:rPr>
              <w:t>C22：</w:t>
            </w:r>
            <w:r>
              <w:rPr>
                <w:rFonts w:hint="eastAsia" w:ascii="宋体" w:hAnsi="宋体" w:cs="宋体"/>
                <w:b/>
                <w:bCs/>
                <w:color w:val="000000"/>
                <w:szCs w:val="21"/>
              </w:rPr>
              <w:t>阳光分班，学籍管理严格。</w:t>
            </w:r>
            <w:r>
              <w:rPr>
                <w:rFonts w:hint="eastAsia" w:ascii="宋体" w:hAnsi="宋体" w:cs="宋体"/>
                <w:color w:val="000000"/>
                <w:szCs w:val="21"/>
              </w:rPr>
              <w:t>学校实行阳光分班，高一新生分班时按照中考入学分数平行分班，平行班的班额、师资、条件相对均衡。不以实验班、兴趣班、特色班、教改班等名义变相设置重点班。学校严格按照江苏省普通高中学籍管理的规定进行学籍管理，建立并完善了全部学生的学籍电子档案，并及时地对学籍进行信息化管理。学校严格按照省市区要求完善正常学籍变动手续。学籍管理能做到资料详实、手续齐全、管理规范。学校不接受低星级转学学生、不办理违规借读学生、不接受复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rPr>
                <w:rFonts w:ascii="宋体"/>
                <w:b/>
                <w:sz w:val="24"/>
              </w:rPr>
            </w:pPr>
          </w:p>
        </w:tc>
      </w:tr>
    </w:tbl>
    <w:p>
      <w:pPr>
        <w:tabs>
          <w:tab w:val="left" w:pos="9135"/>
        </w:tabs>
        <w:ind w:right="428" w:rightChars="204"/>
        <w:rPr>
          <w:rFonts w:ascii="宋体"/>
        </w:rPr>
      </w:pPr>
      <w:r>
        <w:rPr>
          <w:rFonts w:hint="eastAsia" w:ascii="宋体"/>
        </w:rPr>
        <w:t>注：必查材料为学校近三年招生简章、学分管理工作制度。</w:t>
      </w:r>
    </w:p>
    <w:p>
      <w:pPr>
        <w:tabs>
          <w:tab w:val="left" w:pos="9135"/>
        </w:tabs>
        <w:ind w:right="428" w:rightChars="204"/>
        <w:rPr>
          <w:rFonts w:ascii="宋体"/>
        </w:rPr>
      </w:pP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spacing w:line="260" w:lineRule="exact"/>
              <w:rPr>
                <w:rFonts w:ascii="仿宋_GB2312" w:eastAsia="仿宋_GB2312" w:cs="宋体"/>
                <w:color w:val="000000"/>
                <w:sz w:val="24"/>
                <w:szCs w:val="24"/>
              </w:rPr>
            </w:pPr>
            <w:r>
              <w:rPr>
                <w:rFonts w:hint="eastAsia" w:ascii="仿宋_GB2312" w:hAnsi="宋体" w:eastAsia="仿宋_GB2312" w:cs="宋体"/>
                <w:color w:val="000000"/>
                <w:sz w:val="24"/>
                <w:szCs w:val="24"/>
              </w:rPr>
              <w:t>B11．</w:t>
            </w:r>
          </w:p>
          <w:p>
            <w:pPr>
              <w:spacing w:line="34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课程建设</w:t>
            </w:r>
          </w:p>
          <w:p>
            <w:pPr>
              <w:spacing w:line="340" w:lineRule="exact"/>
              <w:jc w:val="center"/>
              <w:rPr>
                <w:rFonts w:ascii="仿宋_GB2312" w:eastAsia="仿宋_GB2312"/>
                <w:color w:val="000000"/>
                <w:sz w:val="24"/>
                <w:szCs w:val="24"/>
              </w:rPr>
            </w:pPr>
            <w:r>
              <w:rPr>
                <w:rFonts w:hint="eastAsia" w:ascii="仿宋_GB2312" w:hAnsi="宋体" w:eastAsia="仿宋_GB2312" w:cs="宋体"/>
                <w:color w:val="000000"/>
                <w:sz w:val="24"/>
                <w:szCs w:val="24"/>
              </w:rPr>
              <w:t>（5分）</w:t>
            </w:r>
          </w:p>
        </w:tc>
        <w:tc>
          <w:tcPr>
            <w:tcW w:w="6720" w:type="dxa"/>
            <w:vAlign w:val="center"/>
          </w:tcPr>
          <w:p>
            <w:pPr>
              <w:spacing w:line="260" w:lineRule="exact"/>
              <w:ind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C23．始终以课程建设为核心，课堂教学变革为重点，创新师生评价为关键，将现代学校制度建设和现代教育技术运用贯穿于始终，充分发挥课程、环境和装备三位一体的育人合力，促进学校品质提升。构建学校课程体系，制定学校课程的建设规划、研发指南、操作手册和评估标准。初步形成较为可行的课程评价、学生评价、教师评价等体系。教师积极参与课程开发和建设，有效提高教育教学效率。开齐开足开好规定课程，不随意增减课时和增加课程难度，不加快教学进度，考试内容不超出课程标准，减轻学生过重课业负担。</w:t>
            </w:r>
            <w:r>
              <w:rPr>
                <w:rFonts w:hint="eastAsia" w:ascii="仿宋_GB2312" w:hAnsi="宋体" w:eastAsia="仿宋_GB2312" w:cs="宋体"/>
                <w:sz w:val="24"/>
                <w:szCs w:val="24"/>
              </w:rPr>
              <w:t>课表常年上墙上网，显要位置公示；</w:t>
            </w:r>
            <w:r>
              <w:rPr>
                <w:rFonts w:hint="eastAsia" w:ascii="仿宋_GB2312" w:hAnsi="宋体" w:eastAsia="仿宋_GB2312" w:cs="宋体"/>
                <w:color w:val="000000"/>
                <w:sz w:val="24"/>
                <w:szCs w:val="24"/>
              </w:rPr>
              <w:t>无两套课表现象。（3分）</w:t>
            </w:r>
          </w:p>
          <w:p>
            <w:pPr>
              <w:spacing w:line="260" w:lineRule="exact"/>
              <w:ind w:firstLine="480" w:firstLineChars="200"/>
              <w:rPr>
                <w:rFonts w:ascii="仿宋_GB2312" w:eastAsia="仿宋_GB2312" w:cs="宋体"/>
                <w:color w:val="000000"/>
                <w:sz w:val="24"/>
                <w:szCs w:val="24"/>
              </w:rPr>
            </w:pPr>
            <w:r>
              <w:rPr>
                <w:rFonts w:hint="eastAsia" w:ascii="仿宋_GB2312" w:hAnsi="宋体" w:eastAsia="仿宋_GB2312" w:cs="宋体"/>
                <w:color w:val="000000"/>
                <w:sz w:val="24"/>
                <w:szCs w:val="24"/>
              </w:rPr>
              <w:t>C24．加强选修课程建设，拓展课程的广度和深度，增强课程的选择性和适宜性。努力建设具有高品质、多样化和可选择的特色课程项目。校本课程和综合实践活动课程丰富多彩，内容体现地方特色，教师和课时得到落实</w:t>
            </w:r>
            <w:r>
              <w:rPr>
                <w:rFonts w:hint="eastAsia" w:ascii="仿宋_GB2312" w:hAnsi="宋体" w:eastAsia="仿宋_GB2312" w:cs="宋体"/>
                <w:b/>
                <w:bCs/>
                <w:color w:val="000000"/>
                <w:sz w:val="24"/>
                <w:szCs w:val="24"/>
              </w:rPr>
              <w:t>，</w:t>
            </w:r>
            <w:r>
              <w:rPr>
                <w:rFonts w:hint="eastAsia" w:ascii="仿宋_GB2312" w:hAnsi="宋体" w:eastAsia="仿宋_GB2312" w:cs="宋体"/>
                <w:color w:val="000000"/>
                <w:sz w:val="24"/>
                <w:szCs w:val="24"/>
              </w:rPr>
              <w:t>实施载体形式多样，满足学生个性发展需求</w:t>
            </w:r>
            <w:r>
              <w:rPr>
                <w:rFonts w:hint="eastAsia" w:ascii="仿宋_GB2312" w:hAnsi="宋体" w:eastAsia="仿宋_GB2312" w:cs="宋体"/>
                <w:b/>
                <w:bCs/>
                <w:color w:val="000000"/>
                <w:sz w:val="24"/>
                <w:szCs w:val="24"/>
              </w:rPr>
              <w:t>。</w:t>
            </w:r>
            <w:r>
              <w:rPr>
                <w:rFonts w:hint="eastAsia" w:ascii="仿宋_GB2312" w:hAnsi="宋体" w:eastAsia="仿宋_GB2312" w:cs="宋体"/>
                <w:color w:val="000000"/>
                <w:sz w:val="24"/>
                <w:szCs w:val="24"/>
              </w:rPr>
              <w:t>规范组织研究性学习活动，绝大多数教师兼教1门以上选修课程。（2分）</w:t>
            </w:r>
          </w:p>
        </w:tc>
        <w:tc>
          <w:tcPr>
            <w:tcW w:w="1260" w:type="dxa"/>
            <w:vAlign w:val="center"/>
          </w:tcPr>
          <w:p>
            <w:pPr>
              <w:jc w:val="center"/>
              <w:rPr>
                <w:rFonts w:ascii="宋体"/>
              </w:rPr>
            </w:pPr>
            <w:r>
              <w:rPr>
                <w:rFonts w:hint="eastAsia" w:asci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widowControl/>
              <w:spacing w:line="360" w:lineRule="exact"/>
              <w:ind w:firstLine="420" w:firstLineChars="200"/>
              <w:jc w:val="left"/>
              <w:rPr>
                <w:rFonts w:ascii="宋体" w:hAnsi="宋体"/>
                <w:kern w:val="0"/>
              </w:rPr>
            </w:pPr>
            <w:r>
              <w:rPr>
                <w:rFonts w:hint="eastAsia" w:ascii="宋体" w:hAnsi="宋体"/>
                <w:color w:val="000000"/>
              </w:rPr>
              <w:t>学校始终以课程建设为核心，课堂教学变革为重点，创新师生评价为关键，将现代学校制度建设和现代教育技术运用贯穿于始终，充分发挥课程、环境和装备三位一体的育人合力，促进学校品质提升。</w:t>
            </w:r>
          </w:p>
          <w:p>
            <w:pPr>
              <w:widowControl/>
              <w:spacing w:line="360" w:lineRule="exact"/>
              <w:ind w:firstLine="482" w:firstLineChars="200"/>
              <w:jc w:val="left"/>
              <w:rPr>
                <w:rFonts w:ascii="宋体" w:hAnsi="宋体" w:cs="宋体"/>
                <w:color w:val="000000"/>
                <w:szCs w:val="21"/>
              </w:rPr>
            </w:pPr>
            <w:r>
              <w:rPr>
                <w:rFonts w:hint="eastAsia" w:ascii="宋体" w:hAnsi="宋体" w:cs="宋体"/>
                <w:b/>
                <w:bCs/>
                <w:color w:val="000000"/>
                <w:sz w:val="24"/>
                <w:szCs w:val="21"/>
              </w:rPr>
              <w:t>C23:</w:t>
            </w:r>
            <w:r>
              <w:rPr>
                <w:rFonts w:hint="eastAsia" w:ascii="宋体" w:hAnsi="宋体" w:cs="宋体"/>
                <w:bCs/>
                <w:color w:val="000000"/>
                <w:szCs w:val="21"/>
              </w:rPr>
              <w:t>基</w:t>
            </w:r>
            <w:r>
              <w:rPr>
                <w:rFonts w:hint="eastAsia" w:ascii="宋体" w:hAnsi="宋体" w:cs="宋体"/>
                <w:color w:val="000000"/>
                <w:szCs w:val="21"/>
              </w:rPr>
              <w:t>于建设学校“行”文化和发展艺术教育特色，着眼引领学生全面发展、富有个性地发展，学校一方面严格执行国家课程计划，开齐开足国家课程，并对国家课程的内容进行适度调整，使之更加适合本校学生的认知基础。另一方面学校着力构建与国家课程、地方课程相协调的，以艺术教育、生命教育为重点的校本课程体系，全面提升学生的综合素质。学校以学生全面发展为目标，以“生本课堂”教学探索为重点，制定了《洛阳高级中学进一步深化课堂教学改革行动方案》，努力创设民主、平等、和谐、互动的教学环境，积极倡导、引领学生学习策略的优化，创新师生评价。</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学校建成了艺术楼、生物标本室、史地室、心理咨询室、校史室、计算机教室、实验楼、图书馆等场馆，各类装备设施齐全，配置先进。既满足师生教育教学、生活和活动的需求，又对学生个性发展形成支撑。随着课程改革的深入和现代教育技术的应用，学校信息化设施不断提升。学校建成了覆盖全校的无线网络、校园网、电子图书馆、电子阅览室、数字美术媒体室、录播室、家校通、广播室、教师QQ群、微信群等。根据学校发展和人才培养需要，学校按照省标一类标准配备了一个数字化实验室。教学大楼每个教室，均配备了先进的多媒体交互一体机。学校建成了覆盖整个教学区的数字化教学资源管理系统。</w:t>
            </w:r>
          </w:p>
          <w:p>
            <w:pPr>
              <w:spacing w:line="360" w:lineRule="exact"/>
              <w:rPr>
                <w:rFonts w:ascii="宋体" w:hAnsi="宋体" w:cs="宋体"/>
                <w:color w:val="000000"/>
                <w:szCs w:val="21"/>
              </w:rPr>
            </w:pPr>
            <w:r>
              <w:rPr>
                <w:rFonts w:hint="eastAsia" w:ascii="宋体" w:hAnsi="宋体" w:cs="宋体"/>
                <w:b/>
                <w:color w:val="000000"/>
                <w:szCs w:val="21"/>
              </w:rPr>
              <w:t xml:space="preserve">    </w:t>
            </w:r>
            <w:r>
              <w:rPr>
                <w:rFonts w:hint="eastAsia" w:ascii="宋体" w:hAnsi="宋体"/>
                <w:b/>
                <w:color w:val="000000"/>
              </w:rPr>
              <w:t>充分发挥课程、环境和装备三位一体的育人合力</w:t>
            </w:r>
            <w:r>
              <w:rPr>
                <w:rFonts w:hint="eastAsia" w:ascii="宋体" w:hAnsi="宋体" w:cs="宋体"/>
                <w:b/>
                <w:color w:val="000000"/>
                <w:szCs w:val="21"/>
              </w:rPr>
              <w:t>，促进学校品质提升。</w:t>
            </w:r>
            <w:r>
              <w:rPr>
                <w:rFonts w:hint="eastAsia" w:ascii="宋体" w:hAnsi="宋体" w:cs="宋体"/>
                <w:color w:val="000000"/>
                <w:szCs w:val="21"/>
              </w:rPr>
              <w:t>学校加强了对网络环境和各类装备的使用和管理。学校设有校长室领导下的信息中心，负责对学校门户网站、网络设施设备的日常维护、更新。为加强对各类馆室和装备的管理和使用，学校制定了《洛阳高级中学专用教室管理》《洛阳高级中学实验室管理制度》《洛阳高级中学学生实验守则》《洛阳高级中学实验室仪器管理制度》《洛阳高级中学图书馆管理制度》《洛阳高级中学电子阅览室管理制度》《洛阳高级中学阅览室规则》《洛阳高级中学“校园网”管理制度》等制度。全体教师登录 “武进智慧教育云平台”，使网络资源很好地服务于教育教学和教研活动。“武进智慧教育云平台”和“校园网”等网络平台有专人管理，学校还针对各功能室和各类装备的管理人员制定了相应的岗位职责。</w:t>
            </w:r>
          </w:p>
          <w:p>
            <w:pPr>
              <w:widowControl/>
              <w:spacing w:line="360" w:lineRule="exact"/>
              <w:ind w:firstLine="411" w:firstLineChars="196"/>
              <w:jc w:val="left"/>
              <w:rPr>
                <w:rFonts w:ascii="宋体" w:hAnsi="宋体" w:cs="宋体"/>
                <w:color w:val="000000"/>
                <w:szCs w:val="21"/>
              </w:rPr>
            </w:pPr>
            <w:r>
              <w:rPr>
                <w:rFonts w:hint="eastAsia" w:ascii="宋体" w:hAnsi="宋体" w:cs="宋体"/>
                <w:color w:val="000000"/>
                <w:szCs w:val="21"/>
              </w:rPr>
              <w:t>各类装备、资源等在平时的教育教学中使用率高，做到了装备与教育教学及课程的深度融合，有利于培养学生创新精神和实践能力。学校把现代教育技术和装备等的运用，作为生本课堂评价的标准之一。学校先后多次组织教师开展各类培训活动，指导教师充分发挥装备在教育教学中的作用。如学校进行了微课制作培训，并开展微课制作比赛；组织全体教师学习操作教室里安装的多媒体交互式一体机；全体教师参加了江苏省信息技术应用能力提升工程，提高教师运用数字化学习的能力。校级及以上公开课经常在录播室举行。近年来学校教师积极参加“一师一优课，一课一名师”活动，参与总人数占专任教师的61.9% ，该比例远远高于区内其他学校。其中2016年获市级及以上“优课”9人，占当年晒课教师总数的20% 。近三年有20多位教师在各级各类的多媒体教育软件比赛、信息化教学能手比赛、实验教学设计比赛、实验教学说课比赛、信息技术评优课、信息技术基本功比赛等活动中获奖。学校获评“常州市信息技术特色学校”，成为了“《中国美术教育》数字美术教育研究中心实验基地”。</w:t>
            </w:r>
          </w:p>
          <w:p>
            <w:pPr>
              <w:spacing w:line="360" w:lineRule="exact"/>
              <w:ind w:firstLine="422" w:firstLineChars="200"/>
              <w:rPr>
                <w:rFonts w:ascii="宋体" w:hAnsi="宋体" w:cs="宋体"/>
                <w:color w:val="000000"/>
                <w:szCs w:val="21"/>
              </w:rPr>
            </w:pPr>
            <w:r>
              <w:rPr>
                <w:rFonts w:hint="eastAsia" w:ascii="宋体" w:hAnsi="宋体" w:cs="宋体"/>
                <w:b/>
                <w:color w:val="000000"/>
                <w:szCs w:val="21"/>
              </w:rPr>
              <w:t>构建学校课程体系，制定学校课程的建设规划、研发指南、操作手册和评估标准。</w:t>
            </w:r>
            <w:r>
              <w:rPr>
                <w:rFonts w:hint="eastAsia" w:ascii="宋体" w:hAnsi="宋体" w:cs="宋体"/>
                <w:color w:val="000000"/>
                <w:szCs w:val="21"/>
              </w:rPr>
              <w:t>学校根据教育部、省、市有关课程改革实施意见的要求，结合学校实际，修订了《洛阳高级中学新课程改革实施方案》《洛阳高级中学新课程管理和课程开设方案》《洛阳高级中学新课程评价制度改革方案》《区洛阳高级中学校本课程开发实施方案》《洛阳高级中学校本课程评价方案》《洛阳高级中学综合实践活动课程实施方案》《洛阳高级中学课程设置说明及学生选课指导手册》《洛阳高级中学学生学分认定方案》《洛阳高级中学学生综合素质评价实施细则》等，以课程建设为核心，从课程理念、课程结构、教学目标、教学内容、教学方式、评价体系等多方面加强对教师全员培训，不断提高教师课程开发和实施能力。学校十分重视校本课程的开发与实施，以创建艺术教育特色为重点，同时充分利用校内外教育资源，围绕学校艺术教育特色、生命教育特色以及学科特点等，开设了“生命课堂”“艺术课堂”和“科技课堂”，形成了“生命教育”“艺术教育”和“科技教育”三大类具有地域特征、乡土特色和时代气息的校本课程体系。学校坚持主动发展，内涵发展，特色发展，优质发展，在20年的艺术教育实践探索中，加强了美术、音乐、传媒等艺术课程的开设与开发。近年，学校成功开设了国际教育项目，与江苏卓越日语专修学院合作，开办了国际课程班，为学生走向世界创造条件。目前学校已经构建了充满生机活力、系统完整的、符合国家课改精神的、有学校特色的课程体系。</w:t>
            </w:r>
          </w:p>
          <w:p>
            <w:pPr>
              <w:spacing w:line="360" w:lineRule="exact"/>
              <w:ind w:firstLine="422" w:firstLineChars="200"/>
              <w:rPr>
                <w:rFonts w:ascii="宋体" w:hAnsi="宋体" w:cs="宋体"/>
                <w:color w:val="000000"/>
                <w:szCs w:val="21"/>
              </w:rPr>
            </w:pPr>
            <w:r>
              <w:rPr>
                <w:rFonts w:hint="eastAsia" w:ascii="宋体" w:hAnsi="宋体" w:cs="宋体"/>
                <w:b/>
                <w:color w:val="000000"/>
                <w:szCs w:val="21"/>
              </w:rPr>
              <w:t>初步形成较为可行的课程评价、学生评价、教师评价等体系</w:t>
            </w:r>
            <w:r>
              <w:rPr>
                <w:rFonts w:hint="eastAsia" w:ascii="宋体" w:hAnsi="宋体" w:cs="宋体"/>
                <w:color w:val="000000"/>
                <w:szCs w:val="21"/>
              </w:rPr>
              <w:t>。学校建立了以校长为首，由分管副校长领衔，党政办、教研处、政教处具体负责，校工会、年级组、教研组、班主任广泛参与的发展性评价制度改革组织机构。多年来，随着新课程改革的不断深入，依据校情、师情、生情的不断变化，学校在教育教学的实践中不断探索总结，通过科研引领、教改试点、逐步铺开等方式，不断修订和完善评价制度，并日趋成熟。学校通过教学“六认真”考核、“生本课堂”研究、教师绩效考核、学生评教师、学分认定、学生综合素质评价等形式分别对课程、教师、学生进行评价。学校在改革过程中，边改革边总结，广泛听取广大教师和学生以及家长的意见和建议，通过师生座谈、家长访谈、教代会民主评议等方式，力求做到课程评价的科学性、学生评价的公平性、教师评价的全面性、社会评价的开放性。学校已经初步形成了适合课改要求、切合学习实际、操作性强的课程评价，学生评价，教师评价体系。</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学校制定了《洛阳高级中学进一步深化课堂教学改革行动方案》《洛阳高级中学教学“六认真”工作细则》《洛阳高级中学“生本课堂”教学改革项目设计方案》等制度，不断探索课程评价、学生评价、师生评价的新方法。确立了“一切为了学生，高度尊重学生，全面依靠学生”的“生本课堂”的核心理念，出台《洛阳高级中学“生本课堂”实验教学评价依据》《洛阳高级中学“生本课堂”课堂教学评价表》，评价重视学生在学习中的学习主动性、思维有效性，重视教师的引导和引领和学生自主和合作探究以及学生情感、态度、价值观的拓展。这是学校评价制度改革的一个比较成熟的阶段性成果。学校制定《洛阳高级中学学生评优规定》等方案，努力促进学生进步和发展。对学生的评价，学校建立学生成长记录手册，实行学分制管理，学校根据课程方案的学分要求，严格学分认定的标准、程序，规范操作过程。</w:t>
            </w:r>
          </w:p>
          <w:p>
            <w:pPr>
              <w:shd w:val="clear" w:color="auto" w:fill="FFFFFF"/>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学校对教师的评价不仅重视教学态度、教学效果，更注重师德评价即爱岗敬业精神、团队合作精神等。评价过程中，学校强调：评价主体多元化，如以教学反思和总结为主要形式的教师自评，以问卷、家委会等为形式的学生评，家长评，以教师年度考核为形式的领导评等等；评价方法多样化，如座谈，问卷，观摩展示，教学评比等；评价制度规范化，结合高中绩效工资的发放，学校制定了《奖励性绩效工资考核实施方案》，从师德、教学常规、班主任考核、教学质量等等不同角度对教师进行了评价考核。学校还通过定期组织教师进行解题、基本功竞赛或同题异构的校级公开课观摩和评议等方式，对教师提要求，压担子。这些评价极大地激发了教师的积极性和主动性，促进了教师的专业化成长。学校89届校友设立了“星星点灯”教育基金，每年奖励教育教学业绩优秀的教师；定期在教职工中开展“十佳师德模范”评选，从德能勤绩各方面全方位的对教师进行评价。</w:t>
            </w:r>
          </w:p>
          <w:p>
            <w:pPr>
              <w:widowControl/>
              <w:spacing w:line="360" w:lineRule="exact"/>
              <w:ind w:firstLine="413" w:firstLineChars="196"/>
              <w:jc w:val="left"/>
              <w:rPr>
                <w:rFonts w:ascii="宋体" w:hAnsi="宋体" w:cs="宋体"/>
                <w:color w:val="000000"/>
                <w:szCs w:val="21"/>
              </w:rPr>
            </w:pPr>
            <w:r>
              <w:rPr>
                <w:rFonts w:hint="eastAsia" w:ascii="宋体" w:hAnsi="宋体" w:cs="宋体"/>
                <w:b/>
                <w:color w:val="000000"/>
                <w:szCs w:val="21"/>
              </w:rPr>
              <w:t>教师积极参与课程开发和建设，有效提高教育教学效率。</w:t>
            </w:r>
            <w:r>
              <w:rPr>
                <w:rFonts w:hint="eastAsia" w:ascii="宋体" w:hAnsi="宋体" w:cs="宋体"/>
                <w:color w:val="000000"/>
                <w:szCs w:val="21"/>
              </w:rPr>
              <w:t>学校十分重视校本课程的开发与实施，以创建艺术教育特色为重点，围绕学校艺术教育特色、生命教育特色以及学科特点等，形成了“生命教育”“艺术教育”和“科技教育”三大类具有地域特征、乡土特色和时代气息的校本课程体系，先后开发了46门校本课程，编写校本课程教材34本。高一、高二年级开设校本必修《艺术与人生》、《礼仪与生活》和《人生规划》；根据学生兴趣爱好，在高一、高二年级分别开设了15门选修校本课程，学生自由选择，重新组班，实行走班上课。其中，沈纯芳校长主持开发的校本课程《艺术与人生》在“江苏省校本课程优秀成果评选”中荣获三等奖，学校创建成武进区《艺术与人生》课程基地。</w:t>
            </w:r>
          </w:p>
          <w:p>
            <w:pPr>
              <w:spacing w:line="360" w:lineRule="exact"/>
              <w:ind w:left="1" w:firstLine="420" w:firstLineChars="200"/>
              <w:rPr>
                <w:rFonts w:ascii="宋体" w:hAnsi="宋体" w:cs="宋体"/>
                <w:color w:val="000000"/>
                <w:szCs w:val="21"/>
              </w:rPr>
            </w:pPr>
            <w:r>
              <w:rPr>
                <w:rFonts w:hint="eastAsia" w:ascii="宋体" w:hAnsi="宋体" w:cs="宋体"/>
                <w:color w:val="000000"/>
                <w:szCs w:val="21"/>
              </w:rPr>
              <w:t>学校加大课堂教学改革力度，积极探索“一切为了学生，高度尊重学生，全面依靠学生”的课生本课堂教学模式。倡导课堂教学常规要实现“三个转变”，即变注入式为启发式、变单纯知识传授为智能并重、变被动听课为主动参与。注重对教师在教学过程中学法指导、学法教育的要求，改革课堂评价标准，提出一堂好课不以教师教给学生多少知识为标准，而是以学生是否乐学、会学为标准；强调情景与问题的设计，注重情感、态度、价值观的教育，把教师在课堂教学过程中对整体的关注、对学困生的关爱列为教师素养的评价范畴。通过作业分层、作业面批、二次批改、常规整理、课外兴趣小组、研究性学习等方式因材施教，对学生进行分类指导。有针对性地帮助学困生，发展学生的优势潜能，满足不同潜质学生的发展需要，积极培养学生的创新精神和实践能力，有效提高教育教学效率。</w:t>
            </w:r>
          </w:p>
          <w:p>
            <w:pPr>
              <w:widowControl/>
              <w:spacing w:line="360" w:lineRule="exact"/>
              <w:ind w:firstLine="413" w:firstLineChars="196"/>
              <w:jc w:val="left"/>
              <w:rPr>
                <w:rFonts w:ascii="宋体" w:hAnsi="宋体" w:cs="宋体"/>
                <w:color w:val="000000"/>
                <w:szCs w:val="21"/>
              </w:rPr>
            </w:pPr>
            <w:r>
              <w:rPr>
                <w:rFonts w:hint="eastAsia" w:ascii="宋体" w:hAnsi="宋体" w:cs="宋体"/>
                <w:b/>
                <w:color w:val="000000"/>
                <w:szCs w:val="21"/>
              </w:rPr>
              <w:t>严格执行课程标准。</w:t>
            </w:r>
            <w:r>
              <w:rPr>
                <w:rFonts w:hint="eastAsia" w:ascii="宋体" w:hAnsi="宋体" w:cs="宋体"/>
                <w:color w:val="000000"/>
                <w:szCs w:val="21"/>
              </w:rPr>
              <w:t>学校开齐开足开好规定课程，不随意增减课时和增加课程难度，不加快教学进度，考试内容不超出课程标准，减轻学生过重课业负担。根据教育部、省、市有关实施意见的要求，学校实际，学校制订了《洛阳高级中学新课程实施方案》《洛阳高级中学进一步规范学校管理,切实减轻学生课业负担的实施办法》，严格执行省“五严”规定，按照常州市统一的课程设置方案，开足开齐开好规定课程。近几年，学校积极推进“打造生本课堂，普及学生发展”的教学改革工作，大力开展校本教研工作，每学期开设“研讨课、示范课、研究课”等系列活动，认真研讨各科《课程标准》及《教学要求》，重点抓好高中新课程的教学要求，把握各科教学难度，不加快教学进度，不增加课程难度，按照规定组织学业考试，考试内容符合课程标准，不增加学生的负担。</w:t>
            </w:r>
          </w:p>
          <w:p>
            <w:pPr>
              <w:pStyle w:val="6"/>
              <w:spacing w:line="360" w:lineRule="exact"/>
              <w:ind w:firstLine="420"/>
              <w:jc w:val="left"/>
              <w:rPr>
                <w:rFonts w:hAnsi="宋体" w:eastAsia="宋体" w:cs="宋体"/>
                <w:color w:val="000000"/>
              </w:rPr>
            </w:pPr>
            <w:r>
              <w:rPr>
                <w:rFonts w:hint="eastAsia" w:hAnsi="宋体" w:eastAsia="宋体" w:cs="宋体"/>
                <w:b/>
                <w:color w:val="000000"/>
              </w:rPr>
              <w:t>课表常年上墙上网，无两套课表的现象。</w:t>
            </w:r>
            <w:r>
              <w:rPr>
                <w:rFonts w:hint="eastAsia" w:hAnsi="宋体" w:eastAsia="宋体" w:cs="宋体"/>
                <w:color w:val="000000"/>
              </w:rPr>
              <w:t>学校每学期开学初按照《常州市中小学课程开设计划》安排课程，及时把课表、作息时间表及体育活动安排表在校园网及武进教育网上及时对外公示，在校内上墙公布，接受社会与上级教育部门的监督。无两套课表的现象。</w:t>
            </w:r>
          </w:p>
          <w:p>
            <w:pPr>
              <w:pStyle w:val="6"/>
              <w:spacing w:line="360" w:lineRule="exact"/>
              <w:ind w:firstLine="482" w:firstLineChars="200"/>
              <w:rPr>
                <w:rFonts w:hAnsi="宋体" w:eastAsia="宋体" w:cs="宋体"/>
                <w:color w:val="000000"/>
              </w:rPr>
            </w:pPr>
            <w:r>
              <w:rPr>
                <w:rFonts w:hint="eastAsia" w:hAnsi="宋体" w:eastAsia="宋体" w:cs="宋体"/>
                <w:b/>
                <w:color w:val="000000"/>
                <w:sz w:val="24"/>
              </w:rPr>
              <w:t>C24:</w:t>
            </w:r>
            <w:r>
              <w:rPr>
                <w:rFonts w:hint="eastAsia" w:hAnsi="宋体" w:eastAsia="宋体" w:cs="宋体"/>
                <w:b/>
                <w:color w:val="000000"/>
              </w:rPr>
              <w:t>加强选修课程建设</w:t>
            </w:r>
            <w:r>
              <w:rPr>
                <w:rFonts w:hint="eastAsia" w:hAnsi="宋体" w:eastAsia="宋体" w:cs="宋体"/>
                <w:color w:val="000000"/>
              </w:rPr>
              <w:t>。学校严格执行国家课程政策和省市区下达的课程计划，开齐开足、上好必修课和选修课，音乐、体育、美术、通用技术、心理健康教育等选修课程也全面执行国家标准，并与学校开发的校本课程、开展的综合实践活动有机结合，加强选修课程建设，拓展课程的广度和深度，增强课程的选择性和适宜性，进一步提高课程实施水平和实际成效。</w:t>
            </w:r>
          </w:p>
          <w:p>
            <w:pPr>
              <w:pStyle w:val="6"/>
              <w:spacing w:line="360" w:lineRule="exact"/>
              <w:ind w:firstLine="422" w:firstLineChars="200"/>
              <w:rPr>
                <w:rFonts w:hAnsi="宋体" w:eastAsia="宋体" w:cs="宋体"/>
                <w:color w:val="000000"/>
              </w:rPr>
            </w:pPr>
            <w:r>
              <w:rPr>
                <w:rFonts w:hint="eastAsia" w:hAnsi="宋体" w:eastAsia="宋体" w:cs="宋体"/>
                <w:b/>
                <w:color w:val="000000"/>
              </w:rPr>
              <w:t>努力建设具有高品质、多样化和可选择的特色课程项目。</w:t>
            </w:r>
            <w:r>
              <w:rPr>
                <w:rFonts w:hint="eastAsia" w:hAnsi="宋体" w:eastAsia="宋体" w:cs="宋体"/>
                <w:color w:val="000000"/>
              </w:rPr>
              <w:t>学校以促进学生全面发展、富有个性地发展为目标，以创建艺术教育特色为重点，同时充分利用校内外教育资源，围绕学校艺术教育特色、生命教育特色以及学科特点等，开发了“生命教育”“艺术教育”和“科技教育”等三大类校本教材，开设了“生命课堂”“艺术课堂”和“科技课堂”。学校先后开发了“生命教育”、“艺术教育”和“科技教育”三大类具有地域特征、乡土特色和时代气息的46门校本课程，编写校本课程教材34本，学生选择空间大，在高一、高二年级实行指定选修与走班选修的校本课程管理制度，高一年级指定选修《艺术与人生》，高二年级指定选修《礼仪与生活》和《人生规划》；根据学生兴趣爱好，在高一、高二年级分别开设了15门选修校本课程，学生自由选择，重新组班，实行走班上课。其中，沈纯芳校长主持开发的校本课程《艺术与人生》在“江苏省校本课程优秀成果评选”中荣获三等奖，学校创建成武进区《艺术与人生》课程基地。近年，学校成功开设国际教育项目，与江苏卓越日语专修学院合作，开办了国际课程班，为学生走向世界创造条件。</w:t>
            </w:r>
          </w:p>
          <w:p>
            <w:pPr>
              <w:pStyle w:val="6"/>
              <w:spacing w:line="360" w:lineRule="exact"/>
              <w:ind w:firstLine="422" w:firstLineChars="200"/>
              <w:rPr>
                <w:rFonts w:hAnsi="宋体" w:eastAsia="宋体" w:cs="宋体"/>
                <w:color w:val="000000"/>
              </w:rPr>
            </w:pPr>
            <w:r>
              <w:rPr>
                <w:rFonts w:hint="eastAsia" w:hAnsi="宋体" w:eastAsia="宋体" w:cs="宋体"/>
                <w:b/>
                <w:color w:val="000000"/>
              </w:rPr>
              <w:t>校本课程和综合实践活动课程丰富多彩</w:t>
            </w:r>
            <w:r>
              <w:rPr>
                <w:rFonts w:hint="eastAsia" w:hAnsi="宋体" w:eastAsia="宋体" w:cs="宋体"/>
                <w:color w:val="000000"/>
              </w:rPr>
              <w:t>，内容体现地方特色，教师和课时得到落实，实施载体形式多样，满足学生个性发展需求。学校先后开发了46门校本课程，编写校本课程教材34本，每学期在在高一、高二年级分别开设了16门校本课程。在此基础上，学校根据《洛阳高级中学综合实践活动实施方案》，组织学生参加各种形式的综合实践活动，在体验中增长知识，提高能力。学校遵循因地制宜，集中与分散相结合的原则，充分发挥地域优势，统筹设计、周密安排，每学年集中开展军训、写生、志愿服务、到各实践基地参观学习等统一活动，同时指导学生利用暑寒假、节假日等课余时间走进企业、社区、农场开展体验、服务活动。目前学校已将王诤将军纪念馆、冯仲云将军纪念馆、武进区国防教育中心等作为爱国主义教育基地；将安徽西递、浙江丽水、溧阳天目湖、武进佳农农场等作为艺术教育实践基地；将敬老院等作为学生志愿者活动基地；将洛阳农业特色果品示范科技园，新洛凯机电等地方特色农业、工业企业作为学生社会实践基地。校本课程与综合实践活动课程教师和课时均能得到落实，期初教研处统一编排教师课务和课时，及时组织实施和检查，课程实施载体形式多样化，有社团活动、外出参观、动手实践、调研等，特别是每年组织美术学生到社会实践活动基地开展写生活动。通过社会实践活动、社区服务、研究性学习等途径，为学生个性特长的发展、健全人格的塑造、知识和能力的提高、情感态度和价值观的形成创造了条件。</w:t>
            </w:r>
          </w:p>
          <w:p>
            <w:pPr>
              <w:pStyle w:val="6"/>
              <w:spacing w:line="360" w:lineRule="exact"/>
              <w:ind w:firstLine="422" w:firstLineChars="200"/>
              <w:rPr>
                <w:rFonts w:hAnsi="宋体" w:eastAsia="宋体" w:cs="宋体"/>
                <w:color w:val="000000"/>
              </w:rPr>
            </w:pPr>
            <w:r>
              <w:rPr>
                <w:rFonts w:hint="eastAsia" w:hAnsi="宋体" w:eastAsia="宋体" w:cs="宋体"/>
                <w:b/>
                <w:color w:val="000000"/>
              </w:rPr>
              <w:t>规范组织研究性学习活动。</w:t>
            </w:r>
            <w:r>
              <w:rPr>
                <w:rFonts w:hint="eastAsia" w:hAnsi="宋体" w:eastAsia="宋体" w:cs="宋体"/>
                <w:color w:val="000000"/>
              </w:rPr>
              <w:t xml:space="preserve">学校规范组织研究性学习，各年级组建了各类研究性学习小组，参加研究性学习的学生达100%。在期初将教师分配到各个班级，根据学生需要聘请为指导教师，认真选题，研究性学习选题涉及社会、科学、环保、经济、人文等方面。学生在教师指导下开展研究性学习，并认真做好材料收集工作，教研处定期检查进展情况。岳敏峰老师指导学生开展的研究性学习《艾灸治疗风寒感冒的研究》荣获常州市二等奖。学校绝大部分教师兼教过一门及以上选修课程。    </w:t>
            </w:r>
          </w:p>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rPr>
                <w:rFonts w:ascii="宋体"/>
                <w:b/>
                <w:sz w:val="24"/>
              </w:rPr>
            </w:pPr>
          </w:p>
        </w:tc>
      </w:tr>
    </w:tbl>
    <w:p>
      <w:pPr>
        <w:rPr>
          <w:rFonts w:ascii="宋体"/>
        </w:rPr>
      </w:pPr>
      <w:r>
        <w:rPr>
          <w:rFonts w:hint="eastAsia" w:ascii="宋体"/>
        </w:rPr>
        <w:t>注：必查材料为近三学年度学校教学工作计划及总结、教学常规管理制度及检查记录；有效教学实践探索活动材料、“一堂好课”评价标准；学校执行中的总课表、周课表、校本选修课程教材、研究性学习活动材料。</w:t>
      </w:r>
    </w:p>
    <w:p>
      <w:pPr>
        <w:tabs>
          <w:tab w:val="left" w:pos="9135"/>
        </w:tabs>
        <w:ind w:right="428" w:rightChars="204"/>
        <w:rPr>
          <w:rFonts w:ascii="宋体"/>
        </w:rPr>
      </w:pP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11" w:type="dxa"/>
            <w:vAlign w:val="center"/>
          </w:tcPr>
          <w:p>
            <w:pP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spacing w:line="260" w:lineRule="exact"/>
              <w:rPr>
                <w:rFonts w:ascii="仿宋_GB2312" w:eastAsia="仿宋_GB2312" w:cs="宋体"/>
                <w:color w:val="000000"/>
                <w:sz w:val="24"/>
                <w:szCs w:val="24"/>
              </w:rPr>
            </w:pPr>
            <w:r>
              <w:rPr>
                <w:rFonts w:hint="eastAsia" w:ascii="仿宋_GB2312" w:hAnsi="宋体" w:eastAsia="仿宋_GB2312" w:cs="宋体"/>
                <w:color w:val="000000"/>
                <w:sz w:val="24"/>
                <w:szCs w:val="24"/>
              </w:rPr>
              <w:t>B12．</w:t>
            </w:r>
          </w:p>
          <w:p>
            <w:pPr>
              <w:spacing w:line="33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身心健康</w:t>
            </w:r>
          </w:p>
          <w:p>
            <w:pPr>
              <w:spacing w:line="330" w:lineRule="exact"/>
              <w:jc w:val="center"/>
              <w:rPr>
                <w:rFonts w:ascii="仿宋_GB2312" w:eastAsia="仿宋_GB2312"/>
                <w:color w:val="000000"/>
                <w:sz w:val="24"/>
                <w:szCs w:val="24"/>
              </w:rPr>
            </w:pPr>
            <w:r>
              <w:rPr>
                <w:rFonts w:hint="eastAsia" w:ascii="仿宋_GB2312" w:hAnsi="宋体" w:eastAsia="仿宋_GB2312" w:cs="宋体"/>
                <w:color w:val="000000"/>
                <w:sz w:val="24"/>
                <w:szCs w:val="24"/>
              </w:rPr>
              <w:t>（7分）</w:t>
            </w:r>
          </w:p>
        </w:tc>
        <w:tc>
          <w:tcPr>
            <w:tcW w:w="6720" w:type="dxa"/>
            <w:vAlign w:val="center"/>
          </w:tcPr>
          <w:p>
            <w:pPr>
              <w:spacing w:line="294" w:lineRule="exact"/>
              <w:ind w:left="1" w:firstLine="480" w:firstLineChars="20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C25．切实加强体艺教育，师资配齐配足，场地、器材符合国家标准。每年举办2次运动会、1次校园艺术节，学生参与率不低于90%。坚持“健康视野、本土行动、特色建设”的工作理念，积极推进体育特色和艺术特色学校建设，至少创建体育特色学校、艺术特色学校、书法特色学校、校园足球特色学校或校园篮球特色学校。实施体艺“2+1”工程，扎实推进学校体育“一校一品一特色”建设，深入推进阳光体育运动校本化实施，强健体魄，明亮眼睛，学生日常体育学习过程、表现、能力以及体质健康发展状况优良。（2分）</w:t>
            </w:r>
          </w:p>
          <w:p>
            <w:pPr>
              <w:spacing w:line="294" w:lineRule="exact"/>
              <w:ind w:left="1" w:firstLine="480" w:firstLineChars="20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C26．树立“健康第一”的理念，强化学校体育，促进学生身心健康全面发展，以“天天锻炼、健康成长、终身受益”为目标。每周体育课2节，大课间、体育活动按规定进行，保证学生每天校园体育活动不少于1小时。（2分）</w:t>
            </w:r>
          </w:p>
          <w:p>
            <w:pPr>
              <w:spacing w:line="294" w:lineRule="exact"/>
              <w:ind w:left="1"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C27．完善学生健康体检管理体系，积极开展传染病、常见病和地方病的防控工作，加强因病缺课监测工作，确保不发生重大传染病暴发流行事件。（1分）</w:t>
            </w:r>
          </w:p>
          <w:p>
            <w:pPr>
              <w:spacing w:line="294" w:lineRule="exact"/>
              <w:ind w:left="1" w:firstLine="480" w:firstLineChars="200"/>
              <w:rPr>
                <w:rFonts w:ascii="仿宋_GB2312" w:eastAsia="仿宋_GB2312"/>
                <w:color w:val="000000"/>
                <w:sz w:val="24"/>
                <w:szCs w:val="24"/>
              </w:rPr>
            </w:pPr>
            <w:r>
              <w:rPr>
                <w:rFonts w:hint="eastAsia" w:ascii="仿宋_GB2312" w:hAnsi="宋体" w:eastAsia="仿宋_GB2312" w:cs="宋体"/>
                <w:color w:val="000000"/>
                <w:sz w:val="24"/>
                <w:szCs w:val="24"/>
              </w:rPr>
              <w:t>C28．成立食堂食品安全管理工作领导小组，组建普适营养餐专家团队，建立相关信息发布平台，加强学校食堂日常经营服务规范化管理和监督，确保师生能吃饱、吃得安全并尽可能吃好。（2分）</w:t>
            </w:r>
          </w:p>
        </w:tc>
        <w:tc>
          <w:tcPr>
            <w:tcW w:w="1260" w:type="dxa"/>
            <w:vAlign w:val="center"/>
          </w:tcPr>
          <w:p>
            <w:pPr>
              <w:jc w:val="center"/>
              <w:rPr>
                <w:rFonts w:ascii="宋体"/>
              </w:rPr>
            </w:pPr>
            <w:r>
              <w:rPr>
                <w:rFonts w:hint="eastAsia" w:ascii="宋体"/>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spacing w:line="360" w:lineRule="exact"/>
              <w:ind w:firstLine="420" w:firstLineChars="200"/>
              <w:rPr>
                <w:rFonts w:ascii="宋体" w:hAnsi="宋体"/>
                <w:szCs w:val="21"/>
              </w:rPr>
            </w:pPr>
            <w:r>
              <w:rPr>
                <w:rFonts w:hint="eastAsia" w:ascii="宋体" w:hAnsi="宋体"/>
                <w:szCs w:val="21"/>
              </w:rPr>
              <w:t>学校高度重视健康工作，倡导“每天锻炼一小时，健康工作五十年，幸福生活一辈子”的阳光体育理念，关注和全力保障师生身心健康。</w:t>
            </w:r>
          </w:p>
          <w:p>
            <w:pPr>
              <w:spacing w:line="360" w:lineRule="exact"/>
              <w:ind w:firstLine="482" w:firstLineChars="200"/>
              <w:rPr>
                <w:rFonts w:ascii="宋体" w:hAnsi="宋体"/>
                <w:szCs w:val="21"/>
              </w:rPr>
            </w:pPr>
            <w:r>
              <w:rPr>
                <w:rFonts w:hint="eastAsia" w:ascii="宋体" w:hAnsi="宋体"/>
                <w:b/>
                <w:sz w:val="24"/>
                <w:szCs w:val="21"/>
              </w:rPr>
              <w:t>C25:</w:t>
            </w:r>
            <w:r>
              <w:rPr>
                <w:rFonts w:hint="eastAsia" w:ascii="宋体" w:hAnsi="宋体"/>
                <w:szCs w:val="21"/>
              </w:rPr>
              <w:t>在学校办学过程中，切实加强体育、艺术学科的建设，按照国家课程标准开足开齐体育、艺术课程，配足、配齐体育、艺术师资，学校现有体育专职教师5人，美术教师8人，音乐教师4人。</w:t>
            </w:r>
          </w:p>
          <w:p>
            <w:pPr>
              <w:spacing w:line="360" w:lineRule="exact"/>
              <w:ind w:firstLine="420" w:firstLineChars="200"/>
              <w:rPr>
                <w:rFonts w:ascii="宋体" w:hAnsi="宋体"/>
                <w:szCs w:val="21"/>
              </w:rPr>
            </w:pPr>
            <w:r>
              <w:rPr>
                <w:rFonts w:hint="eastAsia" w:ascii="宋体" w:hAnsi="宋体"/>
                <w:szCs w:val="21"/>
              </w:rPr>
              <w:t>学校有面积7000平方米专用艺术楼一栋，拥有设施先进、功能强大的各类专用艺术教室。这些功能室既满足新课程教学需要，又为学生的特色发展提供了优良的学习条件，充分满足了艺术类专业的教学需求，促进了学生的个性发展。学校体育场馆建设完备，设施齐全先进，能完全满足教学和活动需要。学校所有体育运动场地、艺术教室均符合国家标准，设施设备齐全，在近年来不断更新体艺器材，使之更符合学生学习需要和课程的实施。</w:t>
            </w:r>
          </w:p>
          <w:p>
            <w:pPr>
              <w:spacing w:line="360" w:lineRule="exact"/>
              <w:ind w:firstLine="420"/>
              <w:rPr>
                <w:rFonts w:ascii="宋体" w:hAnsi="宋体"/>
                <w:szCs w:val="21"/>
              </w:rPr>
            </w:pPr>
            <w:r>
              <w:rPr>
                <w:rFonts w:hint="eastAsia" w:ascii="宋体" w:hAnsi="宋体"/>
                <w:szCs w:val="21"/>
              </w:rPr>
              <w:t>为了丰富学生校园生活，培养学生体艺特长，提高学生综合素质，学校每年组织秋冬两次运动会，一次校园文化艺术节，学生参与率达100%。秋季运动会包括传统的田径运动会，趣味运动会等；冬季运动会主要是以长跑的形式进行。校园文化艺术节重点围绕书画艺术、校园十佳歌手、达人秀、文娱汇演等形式开展，极大的培养了学生艺术特长，丰富了学生的业余生活，发展学生的综合素质。</w:t>
            </w:r>
          </w:p>
          <w:p>
            <w:pPr>
              <w:spacing w:line="360" w:lineRule="exact"/>
              <w:ind w:firstLine="420" w:firstLineChars="200"/>
              <w:rPr>
                <w:rFonts w:ascii="宋体" w:hAnsi="宋体"/>
                <w:szCs w:val="21"/>
              </w:rPr>
            </w:pPr>
            <w:r>
              <w:rPr>
                <w:rFonts w:hint="eastAsia" w:ascii="宋体" w:hAnsi="宋体"/>
                <w:szCs w:val="21"/>
              </w:rPr>
              <w:t>学校坚持“健康视野、本土行动、特色建设”的工作理念,积极推进体育和艺术特色学校建设。体育特色方面，学校于2013年11月成功申报武进区田径特色学校。学校严格按照上级要求开展各项工作，努力以田径运动作为特色项目来带动全校学生掌握健身的技能，养成良好的健身习惯。通过在广大学生中普及田径运动，努力提高田径运动水平和成绩，使全校学生具有强壮的身体、健康的心理。艺术特色方面，2005年学校被评为“常州市艺术特色学校”；2010年被评为“江苏省艺术教育特色学校”，学校成为武进区高中阶段唯一的省级艺术教育特色学校；2011年被评为“全国百强特色学校”。2014年学校被评为“全国特色教育示范单位”。</w:t>
            </w:r>
          </w:p>
          <w:p>
            <w:pPr>
              <w:spacing w:line="360" w:lineRule="exact"/>
              <w:ind w:firstLine="420" w:firstLineChars="200"/>
              <w:rPr>
                <w:rFonts w:ascii="宋体" w:hAnsi="宋体"/>
                <w:szCs w:val="21"/>
              </w:rPr>
            </w:pPr>
            <w:r>
              <w:rPr>
                <w:rFonts w:hint="eastAsia" w:ascii="宋体" w:hAnsi="宋体"/>
                <w:szCs w:val="21"/>
              </w:rPr>
              <w:t>学校通过</w:t>
            </w:r>
            <w:r>
              <w:rPr>
                <w:rFonts w:ascii="宋体" w:hAnsi="宋体"/>
                <w:szCs w:val="21"/>
              </w:rPr>
              <w:t>实施体艺</w:t>
            </w:r>
            <w:r>
              <w:rPr>
                <w:rFonts w:hint="eastAsia" w:ascii="宋体" w:hAnsi="宋体"/>
                <w:szCs w:val="21"/>
              </w:rPr>
              <w:t>“</w:t>
            </w:r>
            <w:r>
              <w:rPr>
                <w:rFonts w:ascii="宋体" w:hAnsi="宋体"/>
                <w:szCs w:val="21"/>
              </w:rPr>
              <w:t>2+1</w:t>
            </w:r>
            <w:r>
              <w:rPr>
                <w:rFonts w:hint="eastAsia" w:ascii="宋体" w:hAnsi="宋体"/>
                <w:szCs w:val="21"/>
              </w:rPr>
              <w:t>”工程</w:t>
            </w:r>
            <w:r>
              <w:rPr>
                <w:rFonts w:ascii="宋体" w:hAnsi="宋体"/>
                <w:szCs w:val="21"/>
              </w:rPr>
              <w:t>，让每一个学生能在</w:t>
            </w:r>
            <w:r>
              <w:rPr>
                <w:rFonts w:hint="eastAsia" w:ascii="宋体" w:hAnsi="宋体"/>
                <w:szCs w:val="21"/>
              </w:rPr>
              <w:t>高中</w:t>
            </w:r>
            <w:r>
              <w:rPr>
                <w:rFonts w:ascii="宋体" w:hAnsi="宋体"/>
                <w:szCs w:val="21"/>
              </w:rPr>
              <w:t>阶段学习掌握两项体育技能，一</w:t>
            </w:r>
            <w:r>
              <w:rPr>
                <w:rFonts w:hint="eastAsia" w:ascii="宋体" w:hAnsi="宋体"/>
                <w:szCs w:val="21"/>
              </w:rPr>
              <w:t>到两项</w:t>
            </w:r>
            <w:r>
              <w:rPr>
                <w:rFonts w:ascii="宋体" w:hAnsi="宋体"/>
                <w:szCs w:val="21"/>
              </w:rPr>
              <w:t>艺术特长，为学生的全面发展奠定良好基础。</w:t>
            </w:r>
            <w:r>
              <w:rPr>
                <w:rFonts w:hint="eastAsia" w:ascii="宋体" w:hAnsi="宋体"/>
                <w:szCs w:val="21"/>
              </w:rPr>
              <w:t>学校按照《国家体育与健康课程》的要求，让学生通过三年高中体育课程的系统学习掌握两门以上的体育运动技能。高一年级上学期按班级开设田径等必修项目，高一下学期开设篮球、足球、排球等选修项目。高二年级学生按照兴趣，进行选科，重新组班开设足球、羽毛球、健美操等选修课程，确保每位学生掌握至少两门体育运动技能。作为江苏省艺术教育特色学校，学校开足艺术校本课程，确保每位学生至少有一项艺术特长。</w:t>
            </w:r>
          </w:p>
          <w:p>
            <w:pPr>
              <w:spacing w:line="360" w:lineRule="exact"/>
              <w:ind w:firstLine="420" w:firstLineChars="200"/>
              <w:rPr>
                <w:rFonts w:ascii="宋体" w:hAnsi="宋体"/>
                <w:color w:val="FF0000"/>
                <w:szCs w:val="21"/>
              </w:rPr>
            </w:pPr>
            <w:r>
              <w:rPr>
                <w:rFonts w:hint="eastAsia" w:ascii="宋体" w:hAnsi="宋体"/>
                <w:szCs w:val="21"/>
              </w:rPr>
              <w:t>学校深入推进阳光体育运动校本化实施，学校在2015年全区阳光体育大课间评比活动中荣获高中组二等奖。学校高度重视学生视力的保护，确保教室内光线和照明的充足；合理安排学生作息时间，保证学生有足够的睡眠时间，坚持做好每天两次的眼保健操，定期给学生检查视力并提供矫治建议。经过多方面努力，学生的视力得到有效保护。学校非常重视学生体质健康工作，成立了《国家学生体质健康标准测试》领导小组，严格对照标准，狠抓落实，按照要求认真组织学生健康测试。近三年学生《国家体质健康标准测试》合格率达90%以上，优秀率达8%以上，学生日常体育学习过程、表现、能力以及体质健康发展状况优良。</w:t>
            </w:r>
          </w:p>
          <w:p>
            <w:pPr>
              <w:spacing w:line="360" w:lineRule="exact"/>
              <w:ind w:firstLine="482" w:firstLineChars="200"/>
              <w:rPr>
                <w:rFonts w:ascii="宋体" w:hAnsi="宋体"/>
                <w:szCs w:val="21"/>
              </w:rPr>
            </w:pPr>
            <w:r>
              <w:rPr>
                <w:rFonts w:hint="eastAsia" w:cs="宋体" w:asciiTheme="minorEastAsia" w:hAnsiTheme="minorEastAsia" w:eastAsiaTheme="minorEastAsia"/>
                <w:b/>
                <w:color w:val="000000"/>
                <w:sz w:val="24"/>
              </w:rPr>
              <w:t>C26:</w:t>
            </w:r>
            <w:r>
              <w:rPr>
                <w:rFonts w:hint="eastAsia" w:ascii="宋体" w:hAnsi="宋体"/>
                <w:szCs w:val="21"/>
              </w:rPr>
              <w:t>为了让每一位学生能够身心健康、体魄强健、意志坚强以及充满活力，学校始终秉持“健康第一”的理念，强化学校的体育教育，促进学生身心的全面发展。学校严格执行国家规定，开足开齐每周2节体育课，开展每天1小时的阳光体育活动和大课间活动，进行跑操、篮球、排球、足球等健身活动。学校坚持每年举办秋季、冬季两次运动会。通过这些活动，达成“天天锻炼、健康成长、终身受益”的体育锻炼目标。</w:t>
            </w:r>
          </w:p>
          <w:p>
            <w:pPr>
              <w:spacing w:line="360" w:lineRule="exact"/>
              <w:ind w:firstLine="482" w:firstLineChars="200"/>
              <w:rPr>
                <w:rFonts w:ascii="宋体" w:hAnsi="宋体"/>
                <w:szCs w:val="21"/>
              </w:rPr>
            </w:pPr>
            <w:r>
              <w:rPr>
                <w:rFonts w:hint="eastAsia" w:cs="宋体" w:asciiTheme="minorEastAsia" w:hAnsiTheme="minorEastAsia" w:eastAsiaTheme="minorEastAsia"/>
                <w:b/>
                <w:color w:val="000000"/>
                <w:sz w:val="24"/>
              </w:rPr>
              <w:t>C27:</w:t>
            </w:r>
            <w:r>
              <w:rPr>
                <w:rFonts w:hint="eastAsia" w:ascii="宋体" w:hAnsi="宋体"/>
                <w:szCs w:val="21"/>
              </w:rPr>
              <w:t>学校有着完备的健康管理体系。新生入学后，及时建立健康档案。每学年对学生进行一次全面的健康检查。学校贯彻预防为主的原则，采取有效措施，控制和降低学生中常见病、多发病的发病率，做好师生保健工作；做好学生生长发育、健康状况、疾病防治的调查研究和资料统计积累工作；做好防近、防病的宣传工作。学校每学期举办2—3次卫生讲座。对于学生因病缺课及时做好监测。学校近3年未发生重大传染病暴发流行事件。2015年学校成功创建成</w:t>
            </w:r>
            <w:r>
              <w:rPr>
                <w:rFonts w:ascii="宋体" w:hAnsi="宋体"/>
                <w:szCs w:val="21"/>
              </w:rPr>
              <w:t>“江苏省健康促进</w:t>
            </w:r>
            <w:r>
              <w:rPr>
                <w:rFonts w:hint="eastAsia" w:ascii="宋体" w:hAnsi="宋体"/>
                <w:szCs w:val="21"/>
              </w:rPr>
              <w:t>银</w:t>
            </w:r>
            <w:r>
              <w:rPr>
                <w:rFonts w:ascii="宋体" w:hAnsi="宋体"/>
                <w:szCs w:val="21"/>
              </w:rPr>
              <w:t>奖学校”</w:t>
            </w:r>
            <w:r>
              <w:rPr>
                <w:rFonts w:hint="eastAsia" w:ascii="宋体" w:hAnsi="宋体"/>
                <w:szCs w:val="21"/>
              </w:rPr>
              <w:t>。</w:t>
            </w:r>
          </w:p>
          <w:p>
            <w:pPr>
              <w:widowControl/>
              <w:spacing w:line="360" w:lineRule="exact"/>
              <w:ind w:firstLine="482" w:firstLineChars="200"/>
              <w:jc w:val="left"/>
              <w:rPr>
                <w:rFonts w:ascii="??_GB2312" w:hAnsi="宋体" w:cs="宋体"/>
                <w:color w:val="000000"/>
              </w:rPr>
            </w:pPr>
            <w:r>
              <w:rPr>
                <w:rFonts w:cs="宋体" w:asciiTheme="minorEastAsia" w:hAnsiTheme="minorEastAsia" w:eastAsiaTheme="minorEastAsia"/>
                <w:b/>
                <w:color w:val="000000"/>
                <w:sz w:val="24"/>
              </w:rPr>
              <w:t>C28</w:t>
            </w:r>
            <w:r>
              <w:rPr>
                <w:rFonts w:hint="eastAsia" w:cs="宋体" w:asciiTheme="minorEastAsia" w:hAnsiTheme="minorEastAsia" w:eastAsiaTheme="minorEastAsia"/>
                <w:b/>
                <w:color w:val="000000"/>
                <w:sz w:val="24"/>
              </w:rPr>
              <w:t>:</w:t>
            </w:r>
            <w:r>
              <w:rPr>
                <w:rFonts w:hint="eastAsia" w:ascii="??_GB2312" w:hAnsi="宋体" w:cs="宋体"/>
                <w:color w:val="000000"/>
              </w:rPr>
              <w:t>学校成立食堂食品安全管理工作领导小组，组建普适营养餐专家团队，建立相关信息发布平台，加强学校食堂日常经营服务规范化管理和监督，确保师生能吃饱、吃得安全并尽可能吃好。</w:t>
            </w:r>
          </w:p>
          <w:p>
            <w:pPr>
              <w:widowControl/>
              <w:spacing w:line="360" w:lineRule="exact"/>
              <w:ind w:firstLine="422" w:firstLineChars="200"/>
              <w:jc w:val="left"/>
            </w:pPr>
            <w:r>
              <w:rPr>
                <w:rFonts w:hint="eastAsia"/>
                <w:b/>
              </w:rPr>
              <w:t>机构制度健全，食堂管理卓有成效。</w:t>
            </w:r>
            <w:r>
              <w:rPr>
                <w:rFonts w:hint="eastAsia"/>
              </w:rPr>
              <w:t>学校高度重视食品安全工作，专门成立食堂食品安全工作领导小组，制定《洛阳高级中学食品安全管理制度》和《</w:t>
            </w:r>
            <w:r>
              <w:rPr>
                <w:rFonts w:hint="eastAsia" w:ascii="宋体" w:hAnsi="宋体" w:cs="宋体"/>
                <w:kern w:val="0"/>
                <w:szCs w:val="21"/>
              </w:rPr>
              <w:t>洛阳高级中学学生食堂就</w:t>
            </w:r>
            <w:r>
              <w:rPr>
                <w:rFonts w:ascii="宋体" w:hAnsi="宋体" w:cs="宋体"/>
                <w:kern w:val="0"/>
                <w:szCs w:val="21"/>
              </w:rPr>
              <w:t>餐</w:t>
            </w:r>
            <w:r>
              <w:rPr>
                <w:rFonts w:hint="eastAsia" w:ascii="宋体" w:hAnsi="宋体" w:cs="宋体"/>
                <w:kern w:val="0"/>
                <w:szCs w:val="21"/>
              </w:rPr>
              <w:t>管理规范</w:t>
            </w:r>
            <w:r>
              <w:rPr>
                <w:rFonts w:hint="eastAsia"/>
              </w:rPr>
              <w:t>》，加强对食品安全工作的领导、管理和监督，学校食堂是 “食品卫生A级单位”。</w:t>
            </w:r>
          </w:p>
          <w:p>
            <w:pPr>
              <w:widowControl/>
              <w:spacing w:line="360" w:lineRule="exact"/>
              <w:ind w:firstLine="422" w:firstLineChars="200"/>
              <w:jc w:val="left"/>
            </w:pPr>
            <w:r>
              <w:rPr>
                <w:rFonts w:hint="eastAsia"/>
                <w:b/>
              </w:rPr>
              <w:t>营养餐专家团队保障有力。</w:t>
            </w:r>
            <w:r>
              <w:rPr>
                <w:rFonts w:hint="eastAsia"/>
              </w:rPr>
              <w:t>为保障学生用餐营养，学校组建专业的普适营养餐专家团队，对食堂日常饮食精心指导，确保食物营养健康。</w:t>
            </w:r>
          </w:p>
          <w:p>
            <w:pPr>
              <w:widowControl/>
              <w:spacing w:line="360" w:lineRule="exact"/>
              <w:ind w:firstLine="422" w:firstLineChars="200"/>
              <w:jc w:val="left"/>
            </w:pPr>
            <w:r>
              <w:rPr>
                <w:rFonts w:hint="eastAsia"/>
                <w:b/>
              </w:rPr>
              <w:t>食堂信息公开，师生监督便利。</w:t>
            </w:r>
            <w:r>
              <w:rPr>
                <w:rFonts w:hint="eastAsia"/>
              </w:rPr>
              <w:t>学校一贯重视信息公开，利用食堂白板、明厨亮灶等设备设施，对食品安全监督信息、食堂员工信息和健康状况、一周菜谱和厨房工作情况等进行公示，主动接受师生监督。</w:t>
            </w:r>
          </w:p>
          <w:p>
            <w:pPr>
              <w:widowControl/>
              <w:spacing w:line="360" w:lineRule="exact"/>
              <w:ind w:firstLine="422" w:firstLineChars="200"/>
              <w:jc w:val="left"/>
            </w:pPr>
            <w:r>
              <w:rPr>
                <w:rFonts w:hint="eastAsia"/>
                <w:b/>
              </w:rPr>
              <w:t>日常经营服务规范化管理，全方位监督。</w:t>
            </w:r>
            <w:r>
              <w:rPr>
                <w:rFonts w:hint="eastAsia"/>
              </w:rPr>
              <w:t>学校注重食堂日常经营服务规范化管理和监督。食堂环境整洁、优美，员工服务规范有序。食堂货梯专人负责，定期检修。厨房安装燃气报警装置，天然气由专业公司定期检测。配有专业的食品安全管理员，对日常服务进行指导和督查，加强食品安全宣传，适时做好食品保温工作。定期对员工开展培训，明确员工工作职责，提高服务意识和服务质量。每学期召开供货商会议，从源头把好食品安全关。台账资料完整：每天做好进货查验索证索票登记，并及时登录常州市肉菜追溯平台；高标准进行农药残留检测；重视餐具、用具和相关场所的紫外线清洗消毒；食品留样严格规范；餐厨废弃物处置规范。利用视频探头，实时了解各工作区域情况。成立洛阳高级中学膳食管理委员会，明确成员职责，定期对食堂食品安全、服务质量和环境卫生等开展督查，促使食堂工作不断进步。</w:t>
            </w:r>
          </w:p>
          <w:p>
            <w:pPr>
              <w:widowControl/>
              <w:spacing w:line="360" w:lineRule="exact"/>
              <w:ind w:firstLine="422" w:firstLineChars="200"/>
              <w:jc w:val="left"/>
              <w:rPr>
                <w:rFonts w:ascii="宋体"/>
                <w:b/>
                <w:sz w:val="24"/>
              </w:rPr>
            </w:pPr>
            <w:r>
              <w:rPr>
                <w:rFonts w:hint="eastAsia"/>
                <w:b/>
              </w:rPr>
              <w:t>伙食种类繁多、营养丰富，确保师生安全用餐。</w:t>
            </w:r>
            <w:r>
              <w:rPr>
                <w:rFonts w:hint="eastAsia"/>
                <w:bCs/>
              </w:rPr>
              <w:t>学校</w:t>
            </w:r>
            <w:r>
              <w:rPr>
                <w:rFonts w:hint="eastAsia"/>
              </w:rPr>
              <w:t>努力增加伙食供应种类，改善学生伙食质量。在提供常规一日三餐基础上，增加牛奶、鸡蛋、水果和粗粮供应，确保师生能吃饱、吃得安全并尽可能吃好。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rPr>
                <w:rFonts w:ascii="宋体"/>
                <w:b/>
                <w:sz w:val="24"/>
              </w:rPr>
            </w:pPr>
          </w:p>
        </w:tc>
      </w:tr>
    </w:tbl>
    <w:p>
      <w:pPr>
        <w:rPr>
          <w:rFonts w:ascii="宋体" w:hAnsi="宋体" w:cs="宋体"/>
          <w:color w:val="000000"/>
          <w:szCs w:val="21"/>
        </w:rPr>
      </w:pPr>
      <w:r>
        <w:rPr>
          <w:rFonts w:hint="eastAsia" w:ascii="宋体"/>
        </w:rPr>
        <w:t>注： 必查材料为</w:t>
      </w:r>
      <w:r>
        <w:rPr>
          <w:rFonts w:hint="eastAsia" w:ascii="宋体" w:hAnsi="宋体" w:cs="宋体"/>
          <w:color w:val="000000"/>
          <w:szCs w:val="21"/>
        </w:rPr>
        <w:t>推进体育特色和艺术特色学校建设、实施体艺“2+1”工程、每天校园体育活动不少于1小时的有关材料。</w:t>
      </w:r>
    </w:p>
    <w:p>
      <w:pPr>
        <w:rPr>
          <w:rFonts w:ascii="宋体"/>
        </w:rPr>
      </w:pP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spacing w:line="260" w:lineRule="exact"/>
              <w:rPr>
                <w:rFonts w:ascii="仿宋_GB2312" w:eastAsia="仿宋_GB2312" w:cs="宋体"/>
                <w:color w:val="000000"/>
                <w:sz w:val="24"/>
                <w:szCs w:val="24"/>
              </w:rPr>
            </w:pPr>
            <w:r>
              <w:rPr>
                <w:rFonts w:hint="eastAsia" w:ascii="仿宋_GB2312" w:hAnsi="宋体" w:eastAsia="仿宋_GB2312" w:cs="宋体"/>
                <w:color w:val="000000"/>
                <w:sz w:val="24"/>
                <w:szCs w:val="24"/>
              </w:rPr>
              <w:t>B13．</w:t>
            </w:r>
          </w:p>
          <w:p>
            <w:pPr>
              <w:spacing w:line="33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作息时间</w:t>
            </w:r>
          </w:p>
          <w:p>
            <w:pPr>
              <w:spacing w:line="330" w:lineRule="exact"/>
              <w:jc w:val="center"/>
              <w:rPr>
                <w:rFonts w:ascii="仿宋_GB2312" w:eastAsia="仿宋_GB2312"/>
                <w:color w:val="000000"/>
                <w:sz w:val="24"/>
                <w:szCs w:val="24"/>
              </w:rPr>
            </w:pPr>
            <w:r>
              <w:rPr>
                <w:rFonts w:hint="eastAsia" w:ascii="仿宋_GB2312" w:hAnsi="宋体" w:eastAsia="仿宋_GB2312" w:cs="宋体"/>
                <w:color w:val="000000"/>
                <w:sz w:val="24"/>
                <w:szCs w:val="24"/>
              </w:rPr>
              <w:t>（5分）</w:t>
            </w:r>
          </w:p>
        </w:tc>
        <w:tc>
          <w:tcPr>
            <w:tcW w:w="6720" w:type="dxa"/>
            <w:vAlign w:val="center"/>
          </w:tcPr>
          <w:p>
            <w:pPr>
              <w:spacing w:line="294" w:lineRule="exact"/>
              <w:ind w:left="1"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C29．学生每天在校集中学习时间严格控制在8小时以内，确保学生睡眠时间8小时；不组织走读生到校晚自习。作息时间表常年上墙上网，显要位置公示，接受社会监督。（3分）</w:t>
            </w:r>
          </w:p>
          <w:p>
            <w:pPr>
              <w:spacing w:line="294" w:lineRule="exact"/>
              <w:ind w:left="1"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C30．不在正常教育教学计划之外组织学生集体补课、变相集体上课和有偿补课活动，不举办或与校外机构合作举办有偿补习班。（2分）</w:t>
            </w:r>
          </w:p>
        </w:tc>
        <w:tc>
          <w:tcPr>
            <w:tcW w:w="1260" w:type="dxa"/>
            <w:vAlign w:val="center"/>
          </w:tcPr>
          <w:p>
            <w:pPr>
              <w:jc w:val="center"/>
              <w:rPr>
                <w:rFonts w:ascii="宋体"/>
              </w:rPr>
            </w:pPr>
            <w:r>
              <w:rPr>
                <w:rFonts w:hint="eastAsia" w:asci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spacing w:line="360" w:lineRule="exact"/>
              <w:ind w:firstLine="420" w:firstLineChars="200"/>
              <w:rPr>
                <w:rFonts w:ascii="宋体" w:hAnsi="宋体"/>
                <w:bCs/>
                <w:szCs w:val="21"/>
              </w:rPr>
            </w:pPr>
            <w:r>
              <w:rPr>
                <w:rFonts w:hint="eastAsia" w:ascii="宋体" w:hAnsi="宋体"/>
                <w:bCs/>
                <w:szCs w:val="21"/>
              </w:rPr>
              <w:t>学校作息时间严格遵守相关规定，无集体补课等违规行为。</w:t>
            </w:r>
          </w:p>
          <w:p>
            <w:pPr>
              <w:spacing w:line="360" w:lineRule="exact"/>
              <w:ind w:firstLine="482" w:firstLineChars="200"/>
              <w:rPr>
                <w:rFonts w:ascii="宋体" w:hAnsi="宋体"/>
                <w:szCs w:val="21"/>
              </w:rPr>
            </w:pPr>
            <w:r>
              <w:rPr>
                <w:rFonts w:hint="eastAsia" w:ascii="宋体" w:hAnsi="宋体"/>
                <w:b/>
                <w:sz w:val="24"/>
                <w:szCs w:val="21"/>
              </w:rPr>
              <w:t>C29:</w:t>
            </w:r>
            <w:r>
              <w:rPr>
                <w:rFonts w:hint="eastAsia" w:ascii="宋体" w:hAnsi="宋体"/>
                <w:szCs w:val="21"/>
              </w:rPr>
              <w:t>学校</w:t>
            </w:r>
            <w:r>
              <w:rPr>
                <w:rFonts w:ascii="宋体" w:hAnsi="宋体"/>
                <w:szCs w:val="21"/>
              </w:rPr>
              <w:t>严格执行上级教育行政部门的相关规定</w:t>
            </w:r>
            <w:r>
              <w:rPr>
                <w:rFonts w:hint="eastAsia" w:ascii="宋体" w:hAnsi="宋体"/>
                <w:szCs w:val="21"/>
              </w:rPr>
              <w:t>，课程开足开齐，并且确保学生每天在校集中学习时间不超过8小时。</w:t>
            </w:r>
            <w:r>
              <w:rPr>
                <w:rFonts w:ascii="宋体" w:hAnsi="宋体"/>
                <w:szCs w:val="21"/>
              </w:rPr>
              <w:t>为保证学生有足够的休息时间，学校实行午休制度</w:t>
            </w:r>
            <w:r>
              <w:rPr>
                <w:rFonts w:hint="eastAsia" w:ascii="宋体" w:hAnsi="宋体"/>
                <w:szCs w:val="21"/>
              </w:rPr>
              <w:t>，</w:t>
            </w:r>
            <w:r>
              <w:rPr>
                <w:rFonts w:ascii="宋体" w:hAnsi="宋体"/>
                <w:szCs w:val="21"/>
              </w:rPr>
              <w:t>以确保学生每天</w:t>
            </w:r>
            <w:r>
              <w:rPr>
                <w:rFonts w:hint="eastAsia" w:ascii="宋体" w:hAnsi="宋体"/>
                <w:szCs w:val="21"/>
              </w:rPr>
              <w:t>睡眠时间有8小时以上</w:t>
            </w:r>
            <w:r>
              <w:rPr>
                <w:rFonts w:ascii="宋体" w:hAnsi="宋体"/>
                <w:szCs w:val="21"/>
              </w:rPr>
              <w:t>。</w:t>
            </w:r>
            <w:r>
              <w:rPr>
                <w:rFonts w:hint="eastAsia" w:ascii="宋体" w:hAnsi="宋体"/>
                <w:szCs w:val="21"/>
              </w:rPr>
              <w:t>学校不组织走读生到校晚自习。</w:t>
            </w:r>
            <w:r>
              <w:rPr>
                <w:rFonts w:ascii="宋体" w:hAnsi="宋体"/>
                <w:szCs w:val="21"/>
              </w:rPr>
              <w:t>学生</w:t>
            </w:r>
            <w:r>
              <w:rPr>
                <w:rFonts w:hint="eastAsia" w:ascii="宋体" w:hAnsi="宋体"/>
                <w:szCs w:val="21"/>
              </w:rPr>
              <w:t>作息时间表</w:t>
            </w:r>
            <w:r>
              <w:rPr>
                <w:rFonts w:ascii="宋体" w:hAnsi="宋体"/>
                <w:szCs w:val="21"/>
              </w:rPr>
              <w:t>常年张贴在</w:t>
            </w:r>
            <w:r>
              <w:rPr>
                <w:rFonts w:hint="eastAsia" w:ascii="宋体" w:hAnsi="宋体"/>
                <w:szCs w:val="21"/>
              </w:rPr>
              <w:t>各</w:t>
            </w:r>
            <w:r>
              <w:rPr>
                <w:rFonts w:ascii="宋体" w:hAnsi="宋体"/>
                <w:szCs w:val="21"/>
              </w:rPr>
              <w:t>教室公示栏和校园网，主动接受学生、家长和社会监督。</w:t>
            </w:r>
          </w:p>
          <w:p>
            <w:pPr>
              <w:spacing w:line="360" w:lineRule="exact"/>
              <w:ind w:firstLine="482" w:firstLineChars="200"/>
              <w:rPr>
                <w:rFonts w:ascii="宋体"/>
                <w:b/>
                <w:sz w:val="24"/>
              </w:rPr>
            </w:pPr>
            <w:r>
              <w:rPr>
                <w:rFonts w:hint="eastAsia" w:ascii="宋体" w:hAnsi="宋体"/>
                <w:b/>
                <w:sz w:val="24"/>
                <w:szCs w:val="21"/>
              </w:rPr>
              <w:t>C30 :</w:t>
            </w:r>
            <w:r>
              <w:rPr>
                <w:rFonts w:hint="eastAsia"/>
                <w:szCs w:val="21"/>
              </w:rPr>
              <w:t>学校坚持“让学生收获成功”办学理念，出台了《</w:t>
            </w:r>
            <w:r>
              <w:rPr>
                <w:rFonts w:hint="eastAsia" w:ascii="Calibri" w:hAnsi="Calibri"/>
                <w:szCs w:val="21"/>
              </w:rPr>
              <w:t>洛阳高级中学进一步规范学校管理，切实减轻学生课业负担的实施办法</w:t>
            </w:r>
            <w:r>
              <w:rPr>
                <w:rFonts w:hint="eastAsia"/>
                <w:szCs w:val="21"/>
              </w:rPr>
              <w:t>》，倡导向课堂45分钟要效益，高质量实施有效教学。在这种思想指导下，学校在周末和法定节假日从不组织学生集体补课，也不组织学生在假期利用返校、补差等名义在校内外集体上课。学校严格禁止在职教师从事有偿家教活动，也不得到培训机构任职，每一位教师都签订了师德承诺书。同时，学校也不举办或与校外机构合作举办有偿补习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rPr>
                <w:rFonts w:ascii="宋体"/>
                <w:b/>
                <w:sz w:val="24"/>
              </w:rPr>
            </w:pPr>
          </w:p>
        </w:tc>
      </w:tr>
    </w:tbl>
    <w:p>
      <w:pPr>
        <w:rPr>
          <w:rFonts w:ascii="宋体"/>
        </w:rPr>
      </w:pPr>
      <w:r>
        <w:rPr>
          <w:rFonts w:hint="eastAsia" w:ascii="宋体"/>
        </w:rPr>
        <w:t>注：必查材料为学生作息时间表、班主任工作记载、班级日志（抽样）。</w:t>
      </w:r>
    </w:p>
    <w:p>
      <w:pPr>
        <w:rPr>
          <w:rFonts w:ascii="宋体"/>
          <w:b/>
          <w:szCs w:val="21"/>
        </w:rPr>
      </w:pP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spacing w:line="260" w:lineRule="exact"/>
              <w:rPr>
                <w:rFonts w:ascii="仿宋_GB2312" w:eastAsia="仿宋_GB2312" w:cs="宋体"/>
                <w:color w:val="000000"/>
                <w:sz w:val="24"/>
                <w:szCs w:val="24"/>
              </w:rPr>
            </w:pPr>
            <w:r>
              <w:rPr>
                <w:rFonts w:hint="eastAsia" w:ascii="仿宋_GB2312" w:hAnsi="宋体" w:eastAsia="仿宋_GB2312" w:cs="宋体"/>
                <w:color w:val="000000"/>
                <w:sz w:val="24"/>
                <w:szCs w:val="24"/>
              </w:rPr>
              <w:t>B14．</w:t>
            </w:r>
          </w:p>
          <w:p>
            <w:pPr>
              <w:spacing w:line="260" w:lineRule="exact"/>
              <w:rPr>
                <w:rFonts w:ascii="仿宋_GB2312" w:eastAsia="仿宋_GB2312" w:cs="宋体"/>
                <w:color w:val="000000"/>
                <w:sz w:val="24"/>
                <w:szCs w:val="24"/>
              </w:rPr>
            </w:pPr>
            <w:r>
              <w:rPr>
                <w:rFonts w:hint="eastAsia" w:ascii="仿宋_GB2312" w:hAnsi="宋体" w:eastAsia="仿宋_GB2312" w:cs="宋体"/>
                <w:color w:val="000000"/>
                <w:sz w:val="24"/>
                <w:szCs w:val="24"/>
              </w:rPr>
              <w:t>作业考试</w:t>
            </w:r>
          </w:p>
          <w:p>
            <w:pPr>
              <w:spacing w:line="330" w:lineRule="exact"/>
              <w:jc w:val="center"/>
              <w:rPr>
                <w:rFonts w:ascii="仿宋_GB2312" w:eastAsia="仿宋_GB2312"/>
                <w:color w:val="000000"/>
                <w:sz w:val="24"/>
                <w:szCs w:val="24"/>
              </w:rPr>
            </w:pPr>
            <w:r>
              <w:rPr>
                <w:rFonts w:hint="eastAsia" w:ascii="仿宋_GB2312" w:hAnsi="宋体" w:eastAsia="仿宋_GB2312" w:cs="宋体"/>
                <w:color w:val="000000"/>
                <w:sz w:val="24"/>
                <w:szCs w:val="24"/>
              </w:rPr>
              <w:t>（12分）</w:t>
            </w:r>
          </w:p>
        </w:tc>
        <w:tc>
          <w:tcPr>
            <w:tcW w:w="6720" w:type="dxa"/>
            <w:vAlign w:val="center"/>
          </w:tcPr>
          <w:p>
            <w:pPr>
              <w:spacing w:line="294" w:lineRule="exact"/>
              <w:ind w:left="1"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C31．改进课后作业的形式、内容和评价，合理安排课内外作业</w:t>
            </w:r>
            <w:r>
              <w:rPr>
                <w:rFonts w:hint="eastAsia" w:ascii="仿宋_GB2312" w:hAnsi="宋体" w:eastAsia="仿宋_GB2312" w:cs="宋体"/>
                <w:b/>
                <w:bCs/>
                <w:color w:val="000000"/>
                <w:sz w:val="24"/>
                <w:szCs w:val="24"/>
              </w:rPr>
              <w:t>，</w:t>
            </w:r>
            <w:r>
              <w:rPr>
                <w:rFonts w:hint="eastAsia" w:ascii="仿宋_GB2312" w:hAnsi="宋体" w:eastAsia="仿宋_GB2312" w:cs="宋体"/>
                <w:color w:val="000000"/>
                <w:sz w:val="24"/>
                <w:szCs w:val="24"/>
              </w:rPr>
              <w:t>每天布置书面家庭作业控制在2小时以内</w:t>
            </w:r>
            <w:r>
              <w:rPr>
                <w:rFonts w:hint="eastAsia" w:ascii="仿宋_GB2312" w:hAnsi="宋体" w:eastAsia="仿宋_GB2312" w:cs="宋体"/>
                <w:b/>
                <w:bCs/>
                <w:color w:val="000000"/>
                <w:sz w:val="24"/>
                <w:szCs w:val="24"/>
              </w:rPr>
              <w:t>。</w:t>
            </w:r>
            <w:r>
              <w:rPr>
                <w:rFonts w:hint="eastAsia" w:ascii="仿宋_GB2312" w:hAnsi="宋体" w:eastAsia="仿宋_GB2312" w:cs="宋体"/>
                <w:color w:val="000000"/>
                <w:sz w:val="24"/>
                <w:szCs w:val="24"/>
              </w:rPr>
              <w:t>书面作业精制精选、及时批改、认真反馈。（6分）</w:t>
            </w:r>
          </w:p>
          <w:p>
            <w:pPr>
              <w:spacing w:line="294" w:lineRule="exact"/>
              <w:ind w:left="1"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C32．严格执行考试规定。每学期统一考试不超过2次（除高三年级的不超过3次的市统一模考外）</w:t>
            </w:r>
            <w:r>
              <w:rPr>
                <w:rFonts w:hint="eastAsia" w:ascii="仿宋_GB2312" w:hAnsi="宋体" w:eastAsia="仿宋_GB2312" w:cs="宋体"/>
                <w:b/>
                <w:bCs/>
                <w:color w:val="000000"/>
                <w:sz w:val="24"/>
                <w:szCs w:val="24"/>
              </w:rPr>
              <w:t>，</w:t>
            </w:r>
            <w:r>
              <w:rPr>
                <w:rFonts w:hint="eastAsia" w:ascii="仿宋_GB2312" w:hAnsi="宋体" w:eastAsia="仿宋_GB2312" w:cs="宋体"/>
                <w:color w:val="000000"/>
                <w:sz w:val="24"/>
                <w:szCs w:val="24"/>
              </w:rPr>
              <w:t>且由学校组织命题和阅卷。不炒作升学率和高考“状元”。不违规组织学生参加学科性竞赛。（2分）</w:t>
            </w:r>
          </w:p>
          <w:p>
            <w:pPr>
              <w:spacing w:line="294" w:lineRule="exact"/>
              <w:ind w:left="1"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C33．学生考试成绩单独通知学生本人，不排名，不以任何形式公布。按规定严格学分管理，无弄虚作假现象。（2分）</w:t>
            </w:r>
          </w:p>
          <w:p>
            <w:pPr>
              <w:spacing w:line="294" w:lineRule="exact"/>
              <w:ind w:firstLine="480" w:firstLineChars="200"/>
              <w:jc w:val="left"/>
              <w:rPr>
                <w:rFonts w:ascii="仿宋_GB2312" w:eastAsia="仿宋_GB2312"/>
                <w:color w:val="000000"/>
                <w:sz w:val="24"/>
                <w:szCs w:val="24"/>
              </w:rPr>
            </w:pPr>
            <w:r>
              <w:rPr>
                <w:rFonts w:hint="eastAsia" w:ascii="仿宋_GB2312" w:hAnsi="宋体" w:eastAsia="仿宋_GB2312" w:cs="宋体"/>
                <w:color w:val="000000"/>
                <w:sz w:val="24"/>
                <w:szCs w:val="24"/>
              </w:rPr>
              <w:t>C34．评价教师以促进学生发展、教师成长和改进教学为原则。学科考试成绩不作为评价教师的唯一依据。不向教师下达升学指标。（2分）</w:t>
            </w:r>
          </w:p>
        </w:tc>
        <w:tc>
          <w:tcPr>
            <w:tcW w:w="1260" w:type="dxa"/>
            <w:vAlign w:val="center"/>
          </w:tcPr>
          <w:p>
            <w:pPr>
              <w:jc w:val="center"/>
              <w:rPr>
                <w:rFonts w:ascii="宋体"/>
              </w:rPr>
            </w:pPr>
            <w:r>
              <w:rPr>
                <w:rFonts w:hint="eastAsia" w:ascii="宋体"/>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spacing w:line="360" w:lineRule="exact"/>
              <w:ind w:firstLine="420" w:firstLineChars="200"/>
              <w:rPr>
                <w:rFonts w:ascii="宋体" w:hAnsi="宋体"/>
                <w:szCs w:val="21"/>
              </w:rPr>
            </w:pPr>
            <w:r>
              <w:rPr>
                <w:rFonts w:hint="eastAsia" w:ascii="宋体" w:hAnsi="宋体"/>
                <w:szCs w:val="21"/>
              </w:rPr>
              <w:t>学校</w:t>
            </w:r>
            <w:r>
              <w:rPr>
                <w:rFonts w:ascii="宋体" w:hAnsi="宋体"/>
                <w:szCs w:val="21"/>
              </w:rPr>
              <w:t>根据上级教育主管部门的相关规定，制定了</w:t>
            </w:r>
            <w:r>
              <w:rPr>
                <w:rFonts w:hint="eastAsia" w:ascii="宋体" w:hAnsi="宋体"/>
                <w:szCs w:val="21"/>
              </w:rPr>
              <w:t>有关</w:t>
            </w:r>
            <w:r>
              <w:rPr>
                <w:rFonts w:ascii="宋体" w:hAnsi="宋体"/>
                <w:szCs w:val="21"/>
              </w:rPr>
              <w:t>管理制度，</w:t>
            </w:r>
            <w:r>
              <w:rPr>
                <w:rFonts w:hint="eastAsia" w:ascii="宋体" w:hAnsi="宋体"/>
                <w:szCs w:val="21"/>
              </w:rPr>
              <w:t>建立</w:t>
            </w:r>
            <w:r>
              <w:rPr>
                <w:rFonts w:ascii="宋体" w:hAnsi="宋体"/>
                <w:szCs w:val="21"/>
              </w:rPr>
              <w:t>了严格</w:t>
            </w:r>
            <w:r>
              <w:rPr>
                <w:rFonts w:hint="eastAsia" w:ascii="宋体" w:hAnsi="宋体"/>
                <w:szCs w:val="21"/>
              </w:rPr>
              <w:t>控制</w:t>
            </w:r>
            <w:r>
              <w:rPr>
                <w:rFonts w:ascii="宋体" w:hAnsi="宋体"/>
                <w:szCs w:val="21"/>
              </w:rPr>
              <w:t>学生课内外作业总量的有效机制。</w:t>
            </w:r>
            <w:r>
              <w:rPr>
                <w:rFonts w:hint="eastAsia" w:ascii="宋体" w:hAnsi="宋体"/>
                <w:szCs w:val="21"/>
              </w:rPr>
              <w:t>严格执行考试规定，不排名次，不以考试成绩作为评价教师的唯一依据。</w:t>
            </w:r>
          </w:p>
          <w:p>
            <w:pPr>
              <w:spacing w:line="360" w:lineRule="exact"/>
              <w:ind w:firstLine="482" w:firstLineChars="200"/>
              <w:rPr>
                <w:rFonts w:ascii="宋体" w:hAnsi="宋体"/>
                <w:szCs w:val="21"/>
              </w:rPr>
            </w:pPr>
            <w:r>
              <w:rPr>
                <w:rFonts w:hint="eastAsia" w:ascii="宋体" w:hAnsi="宋体"/>
                <w:b/>
                <w:color w:val="000000"/>
                <w:sz w:val="24"/>
                <w:szCs w:val="21"/>
              </w:rPr>
              <w:t>C31:</w:t>
            </w:r>
            <w:r>
              <w:rPr>
                <w:rFonts w:ascii="宋体" w:hAnsi="宋体"/>
                <w:szCs w:val="21"/>
              </w:rPr>
              <w:t>学校制定了</w:t>
            </w:r>
            <w:r>
              <w:rPr>
                <w:rFonts w:hint="eastAsia" w:ascii="宋体" w:hAnsi="宋体"/>
                <w:szCs w:val="21"/>
              </w:rPr>
              <w:t>有关</w:t>
            </w:r>
            <w:r>
              <w:rPr>
                <w:rFonts w:ascii="宋体" w:hAnsi="宋体"/>
                <w:szCs w:val="21"/>
              </w:rPr>
              <w:t>管理制度</w:t>
            </w:r>
            <w:r>
              <w:rPr>
                <w:rFonts w:hint="eastAsia" w:ascii="宋体" w:hAnsi="宋体"/>
                <w:szCs w:val="21"/>
              </w:rPr>
              <w:t>，</w:t>
            </w:r>
            <w:r>
              <w:rPr>
                <w:rFonts w:ascii="宋体" w:hAnsi="宋体"/>
                <w:szCs w:val="21"/>
              </w:rPr>
              <w:t>严格控制每天学生的作业量在</w:t>
            </w:r>
            <w:r>
              <w:rPr>
                <w:rFonts w:hint="eastAsia" w:ascii="宋体" w:hAnsi="宋体"/>
                <w:szCs w:val="21"/>
              </w:rPr>
              <w:t>2</w:t>
            </w:r>
            <w:r>
              <w:rPr>
                <w:rFonts w:ascii="宋体" w:hAnsi="宋体"/>
                <w:szCs w:val="21"/>
              </w:rPr>
              <w:t>小时内。教师切实加强作业</w:t>
            </w:r>
            <w:r>
              <w:rPr>
                <w:rFonts w:hint="eastAsia" w:ascii="宋体" w:hAnsi="宋体"/>
                <w:szCs w:val="21"/>
              </w:rPr>
              <w:t>布置</w:t>
            </w:r>
            <w:r>
              <w:rPr>
                <w:rFonts w:ascii="宋体" w:hAnsi="宋体"/>
                <w:szCs w:val="21"/>
              </w:rPr>
              <w:t>的针对性和有效性</w:t>
            </w:r>
            <w:r>
              <w:rPr>
                <w:rFonts w:hint="eastAsia" w:ascii="宋体" w:hAnsi="宋体"/>
                <w:szCs w:val="21"/>
              </w:rPr>
              <w:t>，根据</w:t>
            </w:r>
            <w:r>
              <w:rPr>
                <w:rFonts w:ascii="宋体" w:hAnsi="宋体"/>
                <w:szCs w:val="21"/>
              </w:rPr>
              <w:t>学情设计作业和训练，力求做到精制精选，不布置机械重复的大量抄写的作业。</w:t>
            </w:r>
            <w:r>
              <w:rPr>
                <w:rFonts w:hint="eastAsia" w:ascii="宋体" w:hAnsi="宋体"/>
                <w:szCs w:val="21"/>
              </w:rPr>
              <w:t>教师</w:t>
            </w:r>
            <w:r>
              <w:rPr>
                <w:rFonts w:ascii="宋体" w:hAnsi="宋体"/>
                <w:szCs w:val="21"/>
              </w:rPr>
              <w:t>指导学生</w:t>
            </w:r>
            <w:r>
              <w:rPr>
                <w:rFonts w:hint="eastAsia" w:ascii="宋体" w:hAnsi="宋体"/>
                <w:szCs w:val="21"/>
              </w:rPr>
              <w:t>通过</w:t>
            </w:r>
            <w:r>
              <w:rPr>
                <w:rFonts w:ascii="宋体" w:hAnsi="宋体"/>
                <w:szCs w:val="21"/>
              </w:rPr>
              <w:t>各种典型习题巩固基本知识和概念，掌握解决</w:t>
            </w:r>
            <w:r>
              <w:rPr>
                <w:rFonts w:hint="eastAsia" w:ascii="宋体" w:hAnsi="宋体"/>
                <w:szCs w:val="21"/>
              </w:rPr>
              <w:t>问题</w:t>
            </w:r>
            <w:r>
              <w:rPr>
                <w:rFonts w:ascii="宋体" w:hAnsi="宋体"/>
                <w:szCs w:val="21"/>
              </w:rPr>
              <w:t>的办法，逐步形成能力。</w:t>
            </w:r>
            <w:r>
              <w:rPr>
                <w:rFonts w:hint="eastAsia" w:ascii="宋体" w:hAnsi="宋体"/>
                <w:szCs w:val="21"/>
              </w:rPr>
              <w:t>教师</w:t>
            </w:r>
            <w:r>
              <w:rPr>
                <w:rFonts w:ascii="宋体" w:hAnsi="宋体"/>
                <w:szCs w:val="21"/>
              </w:rPr>
              <w:t>重视基础训练，作业分层要求，抓好重点错题的滚动练习，严格控制作业量，</w:t>
            </w:r>
            <w:r>
              <w:rPr>
                <w:rFonts w:hint="eastAsia" w:ascii="宋体" w:hAnsi="宋体"/>
                <w:szCs w:val="21"/>
              </w:rPr>
              <w:t>不</w:t>
            </w:r>
            <w:r>
              <w:rPr>
                <w:rFonts w:ascii="宋体" w:hAnsi="宋体"/>
                <w:szCs w:val="21"/>
              </w:rPr>
              <w:t>搞题海战术。教师</w:t>
            </w:r>
            <w:r>
              <w:rPr>
                <w:rFonts w:hint="eastAsia" w:ascii="宋体" w:hAnsi="宋体"/>
                <w:szCs w:val="21"/>
              </w:rPr>
              <w:t>对</w:t>
            </w:r>
            <w:r>
              <w:rPr>
                <w:rFonts w:ascii="宋体" w:hAnsi="宋体"/>
                <w:szCs w:val="21"/>
              </w:rPr>
              <w:t>学生所</w:t>
            </w:r>
            <w:r>
              <w:rPr>
                <w:rFonts w:hint="eastAsia" w:ascii="宋体" w:hAnsi="宋体"/>
                <w:szCs w:val="21"/>
              </w:rPr>
              <w:t>交</w:t>
            </w:r>
            <w:r>
              <w:rPr>
                <w:rFonts w:ascii="宋体" w:hAnsi="宋体"/>
                <w:szCs w:val="21"/>
              </w:rPr>
              <w:t>作业本情况及时做好记载，作业设计和批改做到“四精”（精选、精讲、精练、精批）和“四必”（有发必收、有收必改、有改必评、有差必补）。</w:t>
            </w:r>
          </w:p>
          <w:p>
            <w:pPr>
              <w:spacing w:line="360" w:lineRule="exact"/>
              <w:ind w:firstLine="482" w:firstLineChars="200"/>
              <w:rPr>
                <w:rFonts w:ascii="宋体" w:hAnsi="宋体"/>
                <w:color w:val="000000"/>
                <w:szCs w:val="21"/>
              </w:rPr>
            </w:pPr>
            <w:r>
              <w:rPr>
                <w:rFonts w:hint="eastAsia" w:ascii="宋体" w:hAnsi="宋体"/>
                <w:b/>
                <w:color w:val="000000"/>
                <w:sz w:val="24"/>
                <w:szCs w:val="21"/>
              </w:rPr>
              <w:t>C32:</w:t>
            </w:r>
            <w:r>
              <w:rPr>
                <w:rFonts w:hint="eastAsia" w:ascii="宋体" w:hAnsi="宋体"/>
                <w:color w:val="000000"/>
                <w:szCs w:val="21"/>
              </w:rPr>
              <w:t>学校根据上级教育主管部门的相关规定，明确规定高一、高二年级每学期除期中期末考试外，不再安排任何形式的统一命题和阅卷的考试，确保每学期考试次数不超过2次。高三年级除了期中期末考试及市统一组织的模考之外，也不组织统一考试。</w:t>
            </w:r>
          </w:p>
          <w:p>
            <w:pPr>
              <w:spacing w:line="360" w:lineRule="exact"/>
              <w:ind w:firstLine="420" w:firstLineChars="200"/>
              <w:rPr>
                <w:rFonts w:ascii="宋体" w:hAnsi="宋体"/>
                <w:color w:val="000000"/>
                <w:szCs w:val="21"/>
              </w:rPr>
            </w:pPr>
            <w:r>
              <w:rPr>
                <w:rFonts w:hint="eastAsia" w:ascii="宋体" w:hAnsi="宋体"/>
                <w:color w:val="000000"/>
                <w:szCs w:val="21"/>
              </w:rPr>
              <w:t>学校提倡通过单元小测验、随堂测试，同时结合作业完成质量、课堂提问、实验操作、小研究报告等形式来了解老师的教学及学生的学习质量，并以此为依据改进教学工作。</w:t>
            </w:r>
          </w:p>
          <w:p>
            <w:pPr>
              <w:spacing w:line="360" w:lineRule="exact"/>
              <w:ind w:firstLine="420" w:firstLineChars="200"/>
              <w:rPr>
                <w:rFonts w:ascii="宋体" w:hAnsi="宋体"/>
                <w:color w:val="000000"/>
                <w:szCs w:val="21"/>
              </w:rPr>
            </w:pPr>
            <w:r>
              <w:rPr>
                <w:rFonts w:hint="eastAsia" w:ascii="宋体" w:hAnsi="宋体"/>
                <w:color w:val="000000"/>
                <w:szCs w:val="21"/>
              </w:rPr>
              <w:t>学校对学生参加各种学科竞赛进行严格的审批：教研组申报、教研处审核、校长室审批。除上级教育主管部门组织的学科竞赛之外，一律禁止教师组织学生参加其他性质的学科性竞赛，以确保学生参与竞赛活动的规范性，减轻学生的学习负担。</w:t>
            </w:r>
          </w:p>
          <w:p>
            <w:pPr>
              <w:spacing w:line="360" w:lineRule="exact"/>
              <w:ind w:firstLine="482" w:firstLineChars="200"/>
              <w:rPr>
                <w:rFonts w:ascii="宋体" w:hAnsi="宋体"/>
                <w:szCs w:val="21"/>
              </w:rPr>
            </w:pPr>
            <w:r>
              <w:rPr>
                <w:rFonts w:hint="eastAsia" w:ascii="宋体" w:hAnsi="宋体"/>
                <w:b/>
                <w:color w:val="000000"/>
                <w:sz w:val="24"/>
                <w:szCs w:val="21"/>
              </w:rPr>
              <w:t>C33:</w:t>
            </w:r>
            <w:r>
              <w:rPr>
                <w:rFonts w:hint="eastAsia" w:ascii="宋体" w:hAnsi="宋体"/>
                <w:szCs w:val="21"/>
              </w:rPr>
              <w:t>学校严格执行上级教育主管部门关于学生考试成绩公布等方面的相关规定。每次期中期末考试的成绩都单独通知学生本人及家长，不排名次，不以任何形式在班级公布学生的成绩，以保护后进学生的学习积极性。同时，在招生和对外宣传方面，也不对高考升学率进行刻意的炒作。</w:t>
            </w:r>
          </w:p>
          <w:p>
            <w:pPr>
              <w:adjustRightInd w:val="0"/>
              <w:spacing w:line="360" w:lineRule="exact"/>
              <w:ind w:firstLine="422" w:firstLineChars="201"/>
              <w:rPr>
                <w:rFonts w:ascii="宋体" w:cs="宋体"/>
                <w:bCs/>
                <w:kern w:val="0"/>
                <w:szCs w:val="21"/>
              </w:rPr>
            </w:pPr>
            <w:r>
              <w:rPr>
                <w:rFonts w:hint="eastAsia" w:ascii="宋体" w:hAnsi="宋体"/>
                <w:szCs w:val="21"/>
              </w:rPr>
              <w:t>根据《江苏省普通高中学分管理指导意见》和《关于常州市高中学分认定及学业水平测试的的指导意见》，学校成立了学分认定组织机构，并制定了《洛阳高级中学学分管理实施方案》，全面推行学分制，并严格按照规定进行学分管理。对于校本课程及研究性学习、社会实践和社区服务等课程的学分认定也提出了相应的认定方案，并按照方案进行学分认定工作。对于</w:t>
            </w:r>
            <w:r>
              <w:rPr>
                <w:rFonts w:hint="eastAsia" w:ascii="宋体" w:hAnsi="宋体" w:cs="宋体"/>
                <w:bCs/>
                <w:kern w:val="0"/>
                <w:szCs w:val="21"/>
              </w:rPr>
              <w:t>学生因学分认定考试成绩不合格而不能获得学分的，学校均按规定进行处理。学生在校三年中，必须完成</w:t>
            </w:r>
            <w:r>
              <w:rPr>
                <w:rFonts w:ascii="宋体" w:hAnsi="宋体" w:cs="宋体"/>
                <w:bCs/>
                <w:kern w:val="0"/>
                <w:szCs w:val="21"/>
              </w:rPr>
              <w:t>144</w:t>
            </w:r>
            <w:r>
              <w:rPr>
                <w:rFonts w:hint="eastAsia" w:ascii="宋体" w:hAnsi="宋体" w:cs="宋体"/>
                <w:bCs/>
                <w:kern w:val="0"/>
                <w:szCs w:val="21"/>
              </w:rPr>
              <w:t>个学分才能准予毕业。同时，学校根据学生自己的不同潜能及发展需求，在选修Ⅰ、选修Ⅱ中开设更多的课程，实现学生全面而富有个性的发展。在学分管理方面，学校从未出现弄虚作假的现象。</w:t>
            </w:r>
          </w:p>
          <w:p>
            <w:pPr>
              <w:spacing w:line="360" w:lineRule="exact"/>
              <w:ind w:firstLine="482" w:firstLineChars="200"/>
              <w:rPr>
                <w:rFonts w:ascii="宋体"/>
                <w:b/>
                <w:sz w:val="24"/>
              </w:rPr>
            </w:pPr>
            <w:r>
              <w:rPr>
                <w:rFonts w:hint="eastAsia" w:ascii="宋体" w:hAnsi="宋体"/>
                <w:b/>
                <w:color w:val="000000"/>
                <w:sz w:val="24"/>
                <w:szCs w:val="21"/>
              </w:rPr>
              <w:t>C34:</w:t>
            </w:r>
            <w:r>
              <w:rPr>
                <w:rFonts w:hint="eastAsia" w:ascii="宋体" w:hAnsi="宋体"/>
                <w:color w:val="000000"/>
                <w:szCs w:val="21"/>
              </w:rPr>
              <w:t>学校相关部门在教师评价过程中重点关注教师发展的要求，使评价过程成为促进教师成长、改进教学的过程，也成为能促进学生全面发展的重要过程。学校的多项制度如《洛阳高级中学关于在教学中渗透德育的基本要求》《洛阳高级中学骨干教师培养实施方案》《洛阳高级中学教师教学常规考核办法》等多项制度保证了在教师评价过程中不以考试成绩作为评价教师的唯一依据。在年度考核中学校就“师德师风、学历提升、专业进修、业务能力、教学实绩”等方面对教师目标完成情况进行全面综合考核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rPr>
                <w:rFonts w:ascii="宋体"/>
                <w:b/>
                <w:sz w:val="24"/>
              </w:rPr>
            </w:pPr>
          </w:p>
        </w:tc>
      </w:tr>
    </w:tbl>
    <w:p>
      <w:pPr>
        <w:rPr>
          <w:rFonts w:ascii="宋体"/>
        </w:rPr>
      </w:pPr>
      <w:r>
        <w:rPr>
          <w:rFonts w:hint="eastAsia" w:ascii="宋体"/>
        </w:rPr>
        <w:t>注：必查材料为学校周（月）工作安排表、教职工绩效考核办法。</w:t>
      </w: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spacing w:line="260" w:lineRule="exact"/>
              <w:rPr>
                <w:rFonts w:ascii="仿宋_GB2312" w:eastAsia="仿宋_GB2312" w:cs="宋体"/>
                <w:color w:val="000000"/>
                <w:sz w:val="24"/>
                <w:szCs w:val="24"/>
              </w:rPr>
            </w:pPr>
            <w:r>
              <w:rPr>
                <w:rFonts w:hint="eastAsia" w:ascii="仿宋_GB2312" w:hAnsi="宋体" w:eastAsia="仿宋_GB2312" w:cs="宋体"/>
                <w:color w:val="000000"/>
                <w:sz w:val="24"/>
                <w:szCs w:val="24"/>
              </w:rPr>
              <w:t>B15．</w:t>
            </w:r>
          </w:p>
          <w:p>
            <w:pPr>
              <w:spacing w:line="260" w:lineRule="exact"/>
              <w:rPr>
                <w:rFonts w:ascii="仿宋_GB2312" w:eastAsia="仿宋_GB2312" w:cs="宋体"/>
                <w:color w:val="000000"/>
                <w:sz w:val="24"/>
                <w:szCs w:val="24"/>
              </w:rPr>
            </w:pPr>
            <w:r>
              <w:rPr>
                <w:rFonts w:hint="eastAsia" w:ascii="仿宋_GB2312" w:hAnsi="宋体" w:eastAsia="仿宋_GB2312" w:cs="宋体"/>
                <w:color w:val="000000"/>
                <w:sz w:val="24"/>
                <w:szCs w:val="24"/>
              </w:rPr>
              <w:t>教育收费</w:t>
            </w:r>
          </w:p>
          <w:p>
            <w:pPr>
              <w:spacing w:line="340" w:lineRule="exact"/>
              <w:jc w:val="center"/>
              <w:rPr>
                <w:rFonts w:ascii="仿宋_GB2312" w:eastAsia="仿宋_GB2312"/>
                <w:color w:val="000000"/>
                <w:sz w:val="24"/>
                <w:szCs w:val="24"/>
              </w:rPr>
            </w:pPr>
            <w:r>
              <w:rPr>
                <w:rFonts w:hint="eastAsia" w:ascii="仿宋_GB2312" w:hAnsi="宋体" w:eastAsia="仿宋_GB2312" w:cs="宋体"/>
                <w:color w:val="000000"/>
                <w:sz w:val="24"/>
                <w:szCs w:val="24"/>
              </w:rPr>
              <w:t>（2分）</w:t>
            </w:r>
          </w:p>
        </w:tc>
        <w:tc>
          <w:tcPr>
            <w:tcW w:w="6720" w:type="dxa"/>
            <w:vAlign w:val="center"/>
          </w:tcPr>
          <w:p>
            <w:pPr>
              <w:spacing w:line="294" w:lineRule="exact"/>
              <w:ind w:firstLine="480" w:firstLineChars="200"/>
              <w:rPr>
                <w:rFonts w:ascii="仿宋_GB2312" w:eastAsia="仿宋_GB2312"/>
                <w:color w:val="000000"/>
                <w:sz w:val="24"/>
                <w:szCs w:val="24"/>
              </w:rPr>
            </w:pPr>
            <w:r>
              <w:rPr>
                <w:rFonts w:hint="eastAsia" w:ascii="仿宋_GB2312" w:hAnsi="宋体" w:eastAsia="仿宋_GB2312" w:cs="宋体"/>
                <w:color w:val="000000"/>
                <w:sz w:val="24"/>
                <w:szCs w:val="24"/>
              </w:rPr>
              <w:t>C35．严格执行教育收费政策，落实教育收费公示制度。严禁以任何名义收取与入学挂钩的费用。落实“一教一辅”和自愿购买原则，不变相要求学生统一购买教辅材料。（2分）</w:t>
            </w:r>
          </w:p>
        </w:tc>
        <w:tc>
          <w:tcPr>
            <w:tcW w:w="1260" w:type="dxa"/>
            <w:vAlign w:val="center"/>
          </w:tcPr>
          <w:p>
            <w:pPr>
              <w:jc w:val="center"/>
              <w:rPr>
                <w:rFonts w:ascii="宋体"/>
              </w:rPr>
            </w:pPr>
            <w:r>
              <w:rPr>
                <w:rFonts w:hint="eastAsia" w:ascii="宋体"/>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spacing w:line="360" w:lineRule="exact"/>
              <w:ind w:firstLine="482" w:firstLineChars="200"/>
              <w:rPr>
                <w:rFonts w:ascii="宋体" w:hAnsi="宋体"/>
                <w:szCs w:val="21"/>
              </w:rPr>
            </w:pPr>
            <w:r>
              <w:rPr>
                <w:rFonts w:hint="eastAsia" w:ascii="宋体" w:hAnsi="宋体"/>
                <w:b/>
                <w:bCs/>
                <w:sz w:val="24"/>
                <w:szCs w:val="21"/>
              </w:rPr>
              <w:t>C35：</w:t>
            </w:r>
            <w:r>
              <w:rPr>
                <w:rFonts w:hint="eastAsia" w:ascii="宋体" w:hAnsi="宋体"/>
                <w:szCs w:val="21"/>
              </w:rPr>
              <w:t>学校一直以来严格执行国家和省市教育部门有关教育收费的政策，严格按照上级行政部门的相关规定收取各种费用，不违规收取任何费用。学校切实落实教育收费公示制度，及时将收费标准在校园内公示，接受学生、家长及社会人士监督。</w:t>
            </w:r>
          </w:p>
          <w:p>
            <w:pPr>
              <w:spacing w:line="360" w:lineRule="exact"/>
              <w:ind w:firstLine="480"/>
              <w:rPr>
                <w:rFonts w:ascii="宋体" w:hAnsi="宋体"/>
                <w:szCs w:val="21"/>
              </w:rPr>
            </w:pPr>
            <w:r>
              <w:rPr>
                <w:rFonts w:hint="eastAsia" w:ascii="宋体" w:hAnsi="宋体"/>
                <w:szCs w:val="21"/>
              </w:rPr>
              <w:t>学校十分重视教材及教辅用书的征订，制定了《洛阳高级中学教辅资料征订管理制度》，严格按照“一教一辅”和自愿购买的原则办事。学校的教辅用书征订的流程是：备课组选择、教研处审核、校长室审批、教研处收发、财务处收款、新华书店统一结算，确保了教辅用书的质量和及时征订到位。为了保证教辅用书的质量，学校实行征订人责任制，平时对教师及学生进行测评反馈教辅用书的质量及使用情况。</w:t>
            </w:r>
          </w:p>
          <w:p>
            <w:pPr>
              <w:spacing w:line="360" w:lineRule="exact"/>
              <w:ind w:firstLine="420" w:firstLineChars="200"/>
              <w:rPr>
                <w:rFonts w:ascii="宋体"/>
                <w:b/>
                <w:sz w:val="24"/>
              </w:rPr>
            </w:pPr>
            <w:r>
              <w:rPr>
                <w:rFonts w:hint="eastAsia" w:hAnsi="宋体"/>
              </w:rPr>
              <w:t>学校一贯要求教研组、备课组，根据学生情况自行编制学案来组织教学和练习，使教学更有针对性。</w:t>
            </w:r>
            <w:r>
              <w:rPr>
                <w:rFonts w:hint="eastAsia" w:ascii="宋体" w:hAnsi="宋体"/>
                <w:szCs w:val="21"/>
              </w:rPr>
              <w:t>学校严禁教师个人在教辅推荐、发行过程中牟取利益，</w:t>
            </w:r>
            <w:r>
              <w:rPr>
                <w:rFonts w:hint="eastAsia" w:ascii="宋体" w:hAnsi="宋体"/>
                <w:bCs/>
                <w:szCs w:val="21"/>
              </w:rPr>
              <w:t>任何人不得以任何理由、任何形式帮助学生征订或推荐教辅</w:t>
            </w:r>
            <w:r>
              <w:rPr>
                <w:rFonts w:hint="eastAsia" w:ascii="宋体" w:hAnsi="宋体"/>
                <w:szCs w:val="21"/>
              </w:rPr>
              <w:t>用书</w:t>
            </w:r>
            <w:r>
              <w:rPr>
                <w:rFonts w:hint="eastAsia" w:ascii="宋体" w:hAnsi="宋体"/>
                <w:bCs/>
                <w:szCs w:val="21"/>
              </w:rPr>
              <w:t>，更不得私自和书商联系征订资料，违者坚决查处</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rPr>
                <w:rFonts w:ascii="宋体"/>
                <w:b/>
                <w:sz w:val="24"/>
              </w:rPr>
            </w:pPr>
          </w:p>
        </w:tc>
      </w:tr>
    </w:tbl>
    <w:p>
      <w:pPr>
        <w:rPr>
          <w:rFonts w:ascii="宋体"/>
        </w:rPr>
      </w:pPr>
      <w:r>
        <w:rPr>
          <w:rFonts w:hint="eastAsia" w:ascii="宋体"/>
        </w:rPr>
        <w:t>注：必查材料为学校教育收费账目、购买学生用教辅用书清单。</w:t>
      </w:r>
    </w:p>
    <w:p>
      <w:pPr>
        <w:rPr>
          <w:rFonts w:ascii="宋体"/>
        </w:rPr>
      </w:pP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spacing w:line="260" w:lineRule="exact"/>
              <w:ind w:right="-107" w:rightChars="-51"/>
              <w:rPr>
                <w:rFonts w:ascii="仿宋_GB2312" w:eastAsia="仿宋_GB2312"/>
                <w:color w:val="000000"/>
                <w:sz w:val="24"/>
                <w:szCs w:val="24"/>
              </w:rPr>
            </w:pPr>
            <w:r>
              <w:rPr>
                <w:rFonts w:hint="eastAsia" w:ascii="仿宋_GB2312" w:hAnsi="宋体" w:eastAsia="仿宋_GB2312" w:cs="宋体"/>
                <w:color w:val="000000"/>
                <w:sz w:val="24"/>
                <w:szCs w:val="24"/>
              </w:rPr>
              <w:t>B16．</w:t>
            </w:r>
          </w:p>
          <w:p>
            <w:pPr>
              <w:spacing w:line="260" w:lineRule="exact"/>
              <w:ind w:right="-107" w:rightChars="-51"/>
              <w:rPr>
                <w:rFonts w:ascii="仿宋_GB2312" w:eastAsia="仿宋_GB2312"/>
                <w:color w:val="000000"/>
                <w:sz w:val="24"/>
                <w:szCs w:val="24"/>
              </w:rPr>
            </w:pPr>
            <w:r>
              <w:rPr>
                <w:rFonts w:hint="eastAsia" w:ascii="仿宋_GB2312" w:hAnsi="宋体" w:eastAsia="仿宋_GB2312" w:cs="宋体"/>
                <w:color w:val="000000"/>
                <w:sz w:val="24"/>
                <w:szCs w:val="24"/>
              </w:rPr>
              <w:t>德育工作</w:t>
            </w:r>
          </w:p>
          <w:p>
            <w:pPr>
              <w:spacing w:line="330" w:lineRule="exact"/>
              <w:jc w:val="center"/>
              <w:rPr>
                <w:rFonts w:ascii="仿宋_GB2312" w:eastAsia="仿宋_GB2312"/>
                <w:color w:val="000000"/>
                <w:sz w:val="24"/>
                <w:szCs w:val="24"/>
              </w:rPr>
            </w:pPr>
            <w:r>
              <w:rPr>
                <w:rFonts w:hint="eastAsia" w:ascii="仿宋_GB2312" w:hAnsi="宋体" w:eastAsia="仿宋_GB2312" w:cs="宋体"/>
                <w:color w:val="000000"/>
                <w:sz w:val="24"/>
                <w:szCs w:val="24"/>
              </w:rPr>
              <w:t>（15分）</w:t>
            </w:r>
          </w:p>
        </w:tc>
        <w:tc>
          <w:tcPr>
            <w:tcW w:w="6720" w:type="dxa"/>
            <w:vAlign w:val="center"/>
          </w:tcPr>
          <w:p>
            <w:pPr>
              <w:spacing w:line="294" w:lineRule="exact"/>
              <w:ind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C36．德育目标适合学生年龄特点，德育渗透于教育教学各个环节，注重养成教育。全员育人，德育网络健全，辅导员、班主任、学科教师等德育职责明确，工作得力，德育队伍专业化建设有措施、有成效。（5分）</w:t>
            </w:r>
          </w:p>
          <w:p>
            <w:pPr>
              <w:spacing w:line="294" w:lineRule="exact"/>
              <w:ind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C37．积极营造德育氛围，体现时代特征、地域特色和学校特点，具有德育的针对性、实效性。围绕学生品格提升工程内容，积极探索实践。（5分）</w:t>
            </w:r>
          </w:p>
          <w:p>
            <w:pPr>
              <w:spacing w:line="294" w:lineRule="exact"/>
              <w:ind w:firstLine="480" w:firstLineChars="200"/>
              <w:rPr>
                <w:rFonts w:ascii="仿宋_GB2312" w:eastAsia="仿宋_GB2312"/>
                <w:color w:val="000000"/>
                <w:sz w:val="24"/>
                <w:szCs w:val="24"/>
              </w:rPr>
            </w:pPr>
            <w:r>
              <w:rPr>
                <w:rFonts w:hint="eastAsia" w:ascii="仿宋_GB2312" w:hAnsi="宋体" w:eastAsia="仿宋_GB2312" w:cs="宋体"/>
                <w:color w:val="000000"/>
                <w:sz w:val="24"/>
                <w:szCs w:val="24"/>
              </w:rPr>
              <w:t>C38．学校心理健康教育场所建设符合规范，有专兼职心理教师，正常开展心理健康教育，加强对学生的理想、品德、心理、职业生涯、学习与交往等多方面指导。校园文化建设有规划、有特色、有品位。（5分）</w:t>
            </w:r>
          </w:p>
        </w:tc>
        <w:tc>
          <w:tcPr>
            <w:tcW w:w="1260" w:type="dxa"/>
            <w:vAlign w:val="center"/>
          </w:tcPr>
          <w:p>
            <w:pPr>
              <w:jc w:val="center"/>
              <w:rPr>
                <w:rFonts w:ascii="宋体"/>
              </w:rPr>
            </w:pPr>
            <w:r>
              <w:rPr>
                <w:rFonts w:hint="eastAsia" w:ascii="宋体"/>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spacing w:line="360" w:lineRule="exact"/>
              <w:ind w:firstLine="411" w:firstLineChars="196"/>
              <w:rPr>
                <w:rFonts w:ascii="宋体" w:hAnsi="宋体"/>
                <w:szCs w:val="21"/>
              </w:rPr>
            </w:pPr>
            <w:r>
              <w:rPr>
                <w:rFonts w:hint="eastAsia" w:ascii="宋体" w:hAnsi="宋体"/>
                <w:szCs w:val="21"/>
              </w:rPr>
              <w:t>素质教育，德育为先。德育在青少年健康成长的过程和学校工作中起着导向、促进和保证作用，学校认真贯彻《中学德育大纲》的文件精神，制定了</w:t>
            </w:r>
            <w:r>
              <w:rPr>
                <w:rFonts w:hint="eastAsia" w:ascii="宋体" w:hAnsi="宋体"/>
                <w:color w:val="000000"/>
                <w:szCs w:val="21"/>
              </w:rPr>
              <w:t>《洛阳高级中学贯彻〈中共中央、国务院关于进一步加强和改进未成年人思想道德建设的若干意见〉的实施意见》</w:t>
            </w:r>
            <w:r>
              <w:rPr>
                <w:rFonts w:hint="eastAsia" w:ascii="宋体" w:hAnsi="宋体"/>
                <w:szCs w:val="21"/>
              </w:rPr>
              <w:t xml:space="preserve">《洛阳高级中学关于贯彻落实江苏省〈中学德育大纲〉实施细则的实施意见》，提出“热爱生活的生命教育”的人本化德育教育理念，针对新时期、新形势、新条件下青少年的成长环境、生活规律和认知特点，注重价值导向引领，积极研究德育工作新思路、新途径、新方法，谱写学校德育工作新篇章。 </w:t>
            </w:r>
          </w:p>
          <w:p>
            <w:pPr>
              <w:spacing w:line="360" w:lineRule="exact"/>
              <w:ind w:firstLine="472" w:firstLineChars="196"/>
              <w:rPr>
                <w:rFonts w:ascii="宋体" w:hAnsi="宋体"/>
                <w:szCs w:val="21"/>
              </w:rPr>
            </w:pPr>
            <w:r>
              <w:rPr>
                <w:rFonts w:hint="eastAsia" w:ascii="宋体" w:hAnsi="宋体"/>
                <w:b/>
                <w:bCs/>
                <w:sz w:val="24"/>
                <w:szCs w:val="21"/>
              </w:rPr>
              <w:t>C36：</w:t>
            </w:r>
            <w:r>
              <w:rPr>
                <w:rFonts w:hint="eastAsia" w:ascii="宋体" w:hAnsi="宋体"/>
                <w:b/>
                <w:bCs/>
                <w:szCs w:val="21"/>
              </w:rPr>
              <w:t>德育目标适合学生年龄特点。</w:t>
            </w:r>
            <w:r>
              <w:rPr>
                <w:rFonts w:hint="eastAsia" w:ascii="宋体" w:hAnsi="宋体"/>
                <w:szCs w:val="21"/>
              </w:rPr>
              <w:t>针对年级学生特点，确定德育目标：高一年级以“热爱生活，珍爱生命”为主题，重点开展习惯养成教育、生存技能教育、安全法制教育、文明礼仪教育、科普教育等活动，致力于培养能正确认识自我，认识生命，认识社会的合格中学生；高二年级以“热爱生活，完善生命”为主题，重点开展公民教育、责任教育、诚信教育、传统文化教育、心理健康教育等活动，致力于培养有责任感的中学生；高三年级以“热爱生活，发展生命”为主题，重点开展爱国主义教育、理想信念教育、励志感恩教育、文化艺术教育、生态文明教育等活动，致力于培养人格健全、学业有成的高中学生。通过三年针对性的教育，使学生具有正确的生命认知，高尚的思想情操，良好的道德行为，健康的心理素质，健全的法纪观念，扎实的学习能力。</w:t>
            </w:r>
          </w:p>
          <w:p>
            <w:pPr>
              <w:spacing w:line="360" w:lineRule="exact"/>
              <w:ind w:firstLine="422" w:firstLineChars="200"/>
              <w:rPr>
                <w:rFonts w:ascii="宋体" w:hAnsi="宋体"/>
                <w:szCs w:val="21"/>
              </w:rPr>
            </w:pPr>
            <w:r>
              <w:rPr>
                <w:rFonts w:hint="eastAsia" w:ascii="宋体" w:hAnsi="宋体"/>
                <w:b/>
                <w:bCs/>
                <w:szCs w:val="21"/>
              </w:rPr>
              <w:t>德育渗透于教育教学各个环节中，注重养成教育</w:t>
            </w:r>
            <w:r>
              <w:rPr>
                <w:rFonts w:hint="eastAsia" w:ascii="宋体" w:hAnsi="宋体"/>
                <w:szCs w:val="21"/>
              </w:rPr>
              <w:t>。立德树人，德育为先。学校制定《洛阳高级中学关于在教学中渗透德育的基本要求》，强化德育课堂教学主渠道的作用，坚持把德育渗透到教育教学的每一个环节。学校积极开发校本德育课程《礼仪与生活》《生命成长之人生规划》《守护生命》《与法同行》等，形成生命教育校本系列教材。学校开展丰富多彩的德育教育活动，围绕传统纪念日、公民素养、感恩和廉政文化教育等，突出主题、发掘内涵、丰富内容、活泼形式。学校以丰富的社团和社会实践体验为平台，积极引导学生广泛开展社会实践活动。通过假日调查、公益活动、青年志愿者等形式组织学生走出校园，走向社区，走向社会，回归生活，回归自然，让学生在实践中体验感悟、自我发展、追求人格的自我完善。学校积极组织学生参加“社会主义核心价值观”、“法治中国”、“绿色承诺”等读书教育活动。学校探索构建以社会主义核心价值观为主要内容的德育系列主题，将核心价值观教育与学校的常规德育内容高度整合，建立和健全学校德育工作的各种机制。学校制定了《班级常规管理考核细则》、《学生重要行为规范》、《学生纪律及违纪处分条例》、《学生宿舍管理规范》、《学生食堂就餐管理规范》等相关条例，全面加强常规管理。学校积极开展学风建设月等活动，加强学生纪律和学习习惯的规范引领，通过多种形式加强遵守校规校纪、法律法规的教育，培养学生集体意识，提高学生文明素养，切实提高德育的针对性、科学性、实效性。</w:t>
            </w:r>
          </w:p>
          <w:p>
            <w:pPr>
              <w:spacing w:line="360" w:lineRule="exact"/>
              <w:ind w:firstLine="422" w:firstLineChars="200"/>
              <w:rPr>
                <w:rFonts w:ascii="宋体" w:hAnsi="宋体"/>
                <w:szCs w:val="21"/>
              </w:rPr>
            </w:pPr>
            <w:r>
              <w:rPr>
                <w:rFonts w:hint="eastAsia" w:ascii="宋体" w:hAnsi="宋体"/>
                <w:b/>
                <w:bCs/>
                <w:szCs w:val="21"/>
              </w:rPr>
              <w:t>坚持全员育人，德育网络健全。</w:t>
            </w:r>
            <w:r>
              <w:rPr>
                <w:rFonts w:hint="eastAsia" w:ascii="宋体" w:hAnsi="宋体"/>
                <w:szCs w:val="21"/>
              </w:rPr>
              <w:t>学校健全学校、家庭、社会“三位一体”的德育组织机构网络，成立以党支部、校长室为领导核心，以政教处、团委、学生会为日常工作主体的德育工作机构；成立了由校长室、关工委、法制副校长和各行政处室负责同志组成的“德育工作领导小组”，对全校德育工作进行决策和监督；建立了校长室、政教处、年级组、班级四级管理网络，具体落实德育工作，任课老师协助班主任齐抓共管，家长委员会、校外实践基地、德育基地等明确职责共同参与。</w:t>
            </w:r>
          </w:p>
          <w:p>
            <w:pPr>
              <w:spacing w:line="360" w:lineRule="exact"/>
              <w:ind w:firstLine="422" w:firstLineChars="200"/>
              <w:rPr>
                <w:rFonts w:ascii="宋体" w:hAnsi="宋体"/>
                <w:szCs w:val="21"/>
              </w:rPr>
            </w:pPr>
            <w:r>
              <w:rPr>
                <w:rFonts w:hint="eastAsia" w:ascii="宋体" w:hAnsi="宋体"/>
                <w:b/>
                <w:bCs/>
                <w:szCs w:val="21"/>
              </w:rPr>
              <w:t>班主任和教师德育职责分明，工作得力。</w:t>
            </w:r>
            <w:r>
              <w:rPr>
                <w:rFonts w:hint="eastAsia" w:ascii="宋体" w:hAnsi="宋体"/>
                <w:szCs w:val="21"/>
              </w:rPr>
              <w:t>班主任</w:t>
            </w:r>
            <w:r>
              <w:rPr>
                <w:rFonts w:ascii="宋体" w:hAnsi="宋体"/>
                <w:szCs w:val="21"/>
              </w:rPr>
              <w:t>关心爱护班级每一位学生，全面了解学生思想、心理、学习、生活状况，平等对待并尊重学生人格。按照学校德育工作</w:t>
            </w:r>
            <w:r>
              <w:fldChar w:fldCharType="begin"/>
            </w:r>
            <w:r>
              <w:instrText xml:space="preserve"> HYPERLINK "http://www.5ykj.com/Article/" \t "http://www.5ykj.com/Article/cygwgwzz/_blank" </w:instrText>
            </w:r>
            <w:r>
              <w:fldChar w:fldCharType="separate"/>
            </w:r>
            <w:r>
              <w:rPr>
                <w:rFonts w:ascii="宋体" w:hAnsi="宋体"/>
                <w:szCs w:val="21"/>
              </w:rPr>
              <w:t>计划</w:t>
            </w:r>
            <w:r>
              <w:rPr>
                <w:rFonts w:ascii="宋体" w:hAnsi="宋体"/>
                <w:szCs w:val="21"/>
              </w:rPr>
              <w:fldChar w:fldCharType="end"/>
            </w:r>
            <w:r>
              <w:rPr>
                <w:rFonts w:hint="eastAsia" w:ascii="宋体" w:hAnsi="宋体"/>
                <w:szCs w:val="21"/>
              </w:rPr>
              <w:t>要求</w:t>
            </w:r>
            <w:r>
              <w:rPr>
                <w:rFonts w:ascii="宋体" w:hAnsi="宋体"/>
                <w:szCs w:val="21"/>
              </w:rPr>
              <w:t>，认真制定班主任工作</w:t>
            </w:r>
            <w:r>
              <w:fldChar w:fldCharType="begin"/>
            </w:r>
            <w:r>
              <w:instrText xml:space="preserve"> HYPERLINK "http://www.5ykj.com/Article/" \t "http://www.5ykj.com/Article/cygwgwzz/_blank" </w:instrText>
            </w:r>
            <w:r>
              <w:fldChar w:fldCharType="separate"/>
            </w:r>
            <w:r>
              <w:rPr>
                <w:rFonts w:ascii="宋体" w:hAnsi="宋体"/>
                <w:szCs w:val="21"/>
              </w:rPr>
              <w:t>计划</w:t>
            </w:r>
            <w:r>
              <w:rPr>
                <w:rFonts w:ascii="宋体" w:hAnsi="宋体"/>
                <w:szCs w:val="21"/>
              </w:rPr>
              <w:fldChar w:fldCharType="end"/>
            </w:r>
            <w:r>
              <w:rPr>
                <w:rFonts w:ascii="宋体" w:hAnsi="宋体"/>
                <w:szCs w:val="21"/>
              </w:rPr>
              <w:t>，确定班级发展目标，做好班级管理工作，培养学生责任意识和集体荣誉感，形成民主和谐、团结互助、健康向上的班风。</w:t>
            </w:r>
            <w:r>
              <w:rPr>
                <w:rFonts w:hint="eastAsia" w:ascii="宋体" w:hAnsi="宋体"/>
                <w:szCs w:val="21"/>
              </w:rPr>
              <w:t>教师依据各自学科特点渗透德育内容，有效地保证了德育教育与课堂教学的有机结合，及时关注班级学生心理状态和波动，开展有效教育活动。</w:t>
            </w:r>
          </w:p>
          <w:p>
            <w:pPr>
              <w:spacing w:line="360" w:lineRule="exact"/>
              <w:ind w:firstLine="422" w:firstLineChars="200"/>
              <w:rPr>
                <w:rFonts w:ascii="宋体" w:hAnsi="宋体"/>
                <w:szCs w:val="21"/>
              </w:rPr>
            </w:pPr>
            <w:r>
              <w:rPr>
                <w:rFonts w:hint="eastAsia" w:ascii="宋体" w:hAnsi="宋体"/>
                <w:b/>
                <w:bCs/>
                <w:szCs w:val="21"/>
              </w:rPr>
              <w:t>德育队伍专业化建设有措施。</w:t>
            </w:r>
            <w:r>
              <w:rPr>
                <w:rFonts w:hint="eastAsia" w:ascii="宋体" w:hAnsi="宋体"/>
                <w:szCs w:val="21"/>
              </w:rPr>
              <w:t>学校注重提升班主任队伍的层次。选择品德高尚、教育思想端正、专业扎实、善解学生、富有进取精神和创新能力、具备较强的组织协调能力的老师担任班主任。拓展培训渠道，提高班主任综合素质。加强政策法规和理论知识学习，学习《中学生日常行为规范》《洛阳高级中学一日常规》等。定期举办德育研讨会，针对班级管理工作中出现的新问题、新情况，组织班主任进行研讨、交流。通过“青蓝工程”培养年轻班主任队伍，为学校班主任队伍持续健康有序发展提供保障。建立班主任考核机制，规范班主任工作，制定了《班主任工作量化考核细则》，坚持“量化考核，数据说话”，讲究班主任工作的公正性、实效性，每月对班主任进行考核，每学期组织班主任开展德育叙事研究，对优秀班主任进行表彰。</w:t>
            </w:r>
          </w:p>
          <w:p>
            <w:pPr>
              <w:spacing w:line="360" w:lineRule="exact"/>
              <w:ind w:firstLine="422" w:firstLineChars="200"/>
              <w:rPr>
                <w:rFonts w:ascii="宋体" w:hAnsi="宋体"/>
                <w:color w:val="000000" w:themeColor="text1"/>
                <w:szCs w:val="21"/>
              </w:rPr>
            </w:pPr>
            <w:r>
              <w:rPr>
                <w:rFonts w:hint="eastAsia" w:ascii="宋体" w:hAnsi="宋体"/>
                <w:b/>
                <w:color w:val="000000" w:themeColor="text1"/>
                <w:szCs w:val="21"/>
              </w:rPr>
              <w:t>德育</w:t>
            </w:r>
            <w:r>
              <w:rPr>
                <w:rFonts w:hint="eastAsia" w:ascii="宋体" w:hAnsi="宋体"/>
                <w:b/>
                <w:bCs/>
                <w:color w:val="000000" w:themeColor="text1"/>
                <w:szCs w:val="21"/>
              </w:rPr>
              <w:t>队伍专业化建设</w:t>
            </w:r>
            <w:r>
              <w:rPr>
                <w:rFonts w:hint="eastAsia" w:ascii="宋体" w:hAnsi="宋体"/>
                <w:b/>
                <w:color w:val="000000" w:themeColor="text1"/>
                <w:szCs w:val="21"/>
              </w:rPr>
              <w:t>有成效。</w:t>
            </w:r>
            <w:r>
              <w:rPr>
                <w:rFonts w:hint="eastAsia" w:ascii="宋体" w:hAnsi="宋体"/>
                <w:color w:val="000000" w:themeColor="text1"/>
                <w:szCs w:val="21"/>
              </w:rPr>
              <w:t>德育队伍专业化建设有成效。近年来我校涌现出一批有能力、有激情、有干劲、有责任心的年轻班主任队伍，为我校班主任队伍可持续发展提供了保障。近三年，崔勇、周奕老师被评为“常州市中小学德育先进工作者”；许光英、苏其平等老师被评为“常州市优秀班主任”；谈晓旻、徐莹等老师所带的6个班级被评为“常州市先进班集体”， 冯凯、赵瑜佳等老师所带的6个班级被评为“武进区先进班集体”，宣建英、秦旻、吴燕等老师20多篇德育论文公开发表或在区级以上获奖。</w:t>
            </w:r>
          </w:p>
          <w:p>
            <w:pPr>
              <w:spacing w:line="360" w:lineRule="exact"/>
              <w:ind w:firstLine="482" w:firstLineChars="200"/>
              <w:rPr>
                <w:rFonts w:ascii="宋体" w:hAnsi="宋体" w:cs="宋体"/>
                <w:szCs w:val="21"/>
              </w:rPr>
            </w:pPr>
            <w:r>
              <w:rPr>
                <w:rFonts w:hint="eastAsia" w:ascii="宋体" w:hAnsi="宋体" w:cs="宋体"/>
                <w:b/>
                <w:bCs/>
                <w:sz w:val="24"/>
                <w:szCs w:val="21"/>
              </w:rPr>
              <w:t>C37：</w:t>
            </w:r>
            <w:r>
              <w:rPr>
                <w:rFonts w:hint="eastAsia" w:ascii="宋体" w:hAnsi="宋体" w:cs="宋体"/>
                <w:b/>
                <w:bCs/>
                <w:szCs w:val="21"/>
              </w:rPr>
              <w:t>积极营造德育氛围。</w:t>
            </w:r>
            <w:r>
              <w:rPr>
                <w:rFonts w:hint="eastAsia" w:ascii="宋体" w:hAnsi="宋体" w:cs="宋体"/>
                <w:szCs w:val="21"/>
              </w:rPr>
              <w:t>学校营建富有时代特征、地域特色和学校特点的德育氛围，充分发挥环境育人的功能，陶冶学生的情操、引领学生健康成长、激励学生个性发展。在学校校园物质环境布置上融入艺术元素、人文元素、生命元素，整个校园文化景观与文化布置上，以“行文化”广场为原点，以占地7000多平米、设施一流的艺术楼、艺行坊为重点，以校史馆、艺术画廊、文化长廊、墙面艺术作品、励志语录等为载体，通过先贤与今人的有机衔接，聚焦“行文化”学校文化主题，并通过开放式围墙与墙外文化景观融为一体。在教室、宿舍、食堂、操场等学校场所，也进行了能充分体现艺术与人生主题的空间布置，使学校精神植于心灵，隐于校园，溶于言行，形成了雅致谐和的校园环境文化。学校积极营造积极向上的班级文化和温馨和谐的宿舍文化。在教室里统一布置“艺术之窗”、图书角等文化设施，每个墙面发动学生进行进精心的布置，使用墙贴、书法、绘画作品、绿植等营造切合学生实际的学习氛围。宿舍管理突出精致精细，对宿舍卫生和物品摆放都做出细致的规定，发动学生进行宿舍文化营造。学校组织班级文化比赛，每年进行“十佳宿舍”评选，真正做到让让每一面墙会说话，每个角落都育人。</w:t>
            </w:r>
          </w:p>
          <w:p>
            <w:pPr>
              <w:spacing w:line="360" w:lineRule="exact"/>
              <w:ind w:firstLine="422" w:firstLineChars="200"/>
              <w:rPr>
                <w:rFonts w:ascii="宋体" w:hAnsi="宋体" w:cs="宋体"/>
                <w:szCs w:val="21"/>
              </w:rPr>
            </w:pPr>
            <w:r>
              <w:rPr>
                <w:rFonts w:hint="eastAsia" w:ascii="宋体" w:hAnsi="宋体" w:cs="宋体"/>
                <w:b/>
                <w:bCs/>
                <w:szCs w:val="21"/>
              </w:rPr>
              <w:t>德育工作有针对性。</w:t>
            </w:r>
            <w:r>
              <w:rPr>
                <w:rFonts w:hint="eastAsia" w:ascii="宋体" w:hAnsi="宋体" w:cs="宋体"/>
                <w:szCs w:val="21"/>
              </w:rPr>
              <w:t>学校根据《中学德育大纲》，结合学校实际，依据当代青少年心理、生理特点及成长规律，以生命教育为主题制定各年级分层德育培养目标。高一年级以“热爱生活，珍爱生命”为主题；高二年级以“热爱生活，完善生命”为主题；高三年级以“热爱生活，发展生命”为主题。通过三年针对性的教育，使学生具有正确的生命认知，高尚的思想情操，良好的道德行为，健康的心理素质，健全的法纪观念，扎实的学习能力。针对中学生普遍存在的心理问题，学校加强心理教育工作，多方面关注学生心理健康。举办心理教育讲座。学校定期组织学生进行社会实践，走进社区开展各类志愿服务，指导开展研究性学习，引导学生领略社会的巨大变化、科技的迅猛发展，培养学生为建设家乡、报效祖国而努力学习的责任意识。</w:t>
            </w:r>
          </w:p>
          <w:p>
            <w:pPr>
              <w:spacing w:line="360" w:lineRule="exact"/>
              <w:ind w:firstLine="422" w:firstLineChars="200"/>
              <w:rPr>
                <w:rFonts w:ascii="宋体" w:hAnsi="宋体" w:cs="宋体"/>
                <w:szCs w:val="21"/>
              </w:rPr>
            </w:pPr>
            <w:r>
              <w:rPr>
                <w:rFonts w:hint="eastAsia" w:ascii="宋体" w:hAnsi="宋体" w:cs="宋体"/>
                <w:b/>
                <w:bCs/>
                <w:color w:val="000000" w:themeColor="text1"/>
                <w:szCs w:val="21"/>
              </w:rPr>
              <w:t>德育工作实绩突出。</w:t>
            </w:r>
            <w:r>
              <w:rPr>
                <w:rFonts w:hint="eastAsia" w:ascii="宋体" w:hAnsi="宋体" w:cs="宋体"/>
                <w:color w:val="000000" w:themeColor="text1"/>
                <w:szCs w:val="21"/>
              </w:rPr>
              <w:t>近年来，学校德育工作扎实有效，成绩显著，受到了学生、家长、社会和各级领导的好评，社会声誉逐年提高。学校在德育方面取得了累累硕果，获得“全国读书育人特色学校”“全国生命教育实验学校”“江苏省平安校园”“常州市德育特色学校”“常州市生命教育项目学校”“常州市廉洁教育示范学校”“常州市家庭教育实验基地”等荣誉称号。近三年来有肖武龙等3位学生被评为江苏省三好学生，有49位学生被评为常州市和武进区的三好学生和优秀学生干部。王琛、周怡同学被评为常州市美德少年。近三年，崔勇、周奕老师被评为“常州市中小学德育先进工作者”；许光英、苏其平老师被评为“常州市优秀班主任”；冯凯等老师所带的6个班级被评为“武进区先进班集体”；谈晓旻等老师所带的6个班级被评为“常州市先进班集体”，宣建英、秦旻、吴燕等老师20多篇德育论文公开发表或在区级以上获奖。学校团委获团市委常州市学校“优秀团组织”和常州市教育系统先进团组织称号，三年中两度被共青团武进区委评为“先进团委”。</w:t>
            </w:r>
            <w:r>
              <w:rPr>
                <w:rFonts w:hint="eastAsia" w:ascii="宋体" w:hAnsi="宋体" w:cs="宋体"/>
                <w:szCs w:val="21"/>
              </w:rPr>
              <w:t xml:space="preserve">                                                                                                                                                                                                                                                                                                                                                                                                                                                                                                                                                                                                                                                                                                                                                                                     </w:t>
            </w:r>
          </w:p>
          <w:p>
            <w:pPr>
              <w:spacing w:line="360" w:lineRule="exact"/>
              <w:ind w:firstLine="422" w:firstLineChars="200"/>
              <w:rPr>
                <w:rFonts w:ascii="宋体" w:hAnsi="宋体" w:cs="宋体"/>
                <w:color w:val="000000" w:themeColor="text1"/>
                <w:szCs w:val="21"/>
              </w:rPr>
            </w:pPr>
            <w:r>
              <w:rPr>
                <w:rFonts w:hint="eastAsia" w:ascii="宋体" w:hAnsi="宋体" w:cs="宋体"/>
                <w:b/>
                <w:bCs/>
                <w:color w:val="000000" w:themeColor="text1"/>
                <w:szCs w:val="21"/>
              </w:rPr>
              <w:t>围绕学生品格提升工程内容，积极探索实践。</w:t>
            </w:r>
            <w:r>
              <w:rPr>
                <w:rFonts w:hint="eastAsia" w:ascii="宋体" w:hAnsi="宋体" w:cs="宋体"/>
                <w:bCs/>
                <w:color w:val="000000" w:themeColor="text1"/>
                <w:szCs w:val="21"/>
              </w:rPr>
              <w:t>学校</w:t>
            </w:r>
            <w:r>
              <w:rPr>
                <w:rFonts w:hint="eastAsia" w:ascii="宋体" w:hAnsi="宋体" w:cs="宋体"/>
                <w:color w:val="000000" w:themeColor="text1"/>
                <w:szCs w:val="21"/>
              </w:rPr>
              <w:t>统筹课堂教学、资源环境、系统保障等各个环节，全面推进，重点突破，形成育人合力。</w:t>
            </w:r>
            <w:r>
              <w:rPr>
                <w:rFonts w:hint="eastAsia" w:ascii="宋体" w:hAnsi="宋体" w:cs="宋体"/>
                <w:b/>
                <w:color w:val="000000" w:themeColor="text1"/>
                <w:szCs w:val="21"/>
              </w:rPr>
              <w:t>创新学生发展指导。</w:t>
            </w:r>
            <w:r>
              <w:rPr>
                <w:rFonts w:hint="eastAsia" w:ascii="宋体" w:hAnsi="宋体" w:cs="宋体"/>
                <w:color w:val="000000" w:themeColor="text1"/>
                <w:szCs w:val="21"/>
              </w:rPr>
              <w:t>学校着力建设功能完善、设备齐全、适合学生，能够引领学生思想品格方向、帮助学生克服学习困难、增强学生身心健康、指导学生了解职业生涯、促进学生全面发展的学生发展中心。创新生涯规划指导，开设校本德育课程，根据学生兴趣、爱好、个性、天赋等，开展覆盖到每一名学生的升学、生涯教育指导，并进行科学化、专业化的测试和改进，帮助学生明晰和树立正确的专业取向和职业理想。</w:t>
            </w:r>
            <w:r>
              <w:rPr>
                <w:rFonts w:hint="eastAsia" w:ascii="宋体" w:hAnsi="宋体" w:cs="宋体"/>
                <w:b/>
                <w:color w:val="000000" w:themeColor="text1"/>
                <w:szCs w:val="21"/>
              </w:rPr>
              <w:t>创新德育课堂范式</w:t>
            </w:r>
            <w:r>
              <w:rPr>
                <w:rFonts w:hint="eastAsia" w:ascii="宋体" w:hAnsi="宋体" w:cs="宋体"/>
                <w:color w:val="000000" w:themeColor="text1"/>
                <w:szCs w:val="21"/>
              </w:rPr>
              <w:t>。充分发挥课堂主渠道和主阵地作用，以国家新课程改革为契机，创新育人模式。推进教学内容在鲜活、生动、有趣中明理，使课堂教学呈现强烈的感召力，真正为学生喜闻乐见。构建全学科育人新模式，进一步发掘学科文化，加强学科间的拓展与融合，实现跨学科学习，培育学生学科关键能力，形成人文情怀与科学思维的有机统一。</w:t>
            </w:r>
            <w:r>
              <w:rPr>
                <w:rFonts w:hint="eastAsia" w:ascii="宋体" w:hAnsi="宋体" w:cs="宋体"/>
                <w:b/>
                <w:color w:val="000000" w:themeColor="text1"/>
                <w:szCs w:val="21"/>
              </w:rPr>
              <w:t>创新学生社团发展。</w:t>
            </w:r>
            <w:r>
              <w:rPr>
                <w:rFonts w:hint="eastAsia" w:ascii="宋体" w:hAnsi="宋体" w:cs="宋体"/>
                <w:color w:val="000000" w:themeColor="text1"/>
                <w:szCs w:val="21"/>
              </w:rPr>
              <w:t>学校社团建设和活动是锤炼中小学生品格的重要途径，是培养学生个性特长的有效方式。学校支持学生组建内容丰富的各类社团，创新社团的内容和方式，突出学生社团的覆盖面、参与度和活动品质。开展常态化的社团活动，让社团活动惠及每位学生，注重推进学生社团活动课程化，提升社团活动的教育性。</w:t>
            </w:r>
            <w:r>
              <w:rPr>
                <w:rFonts w:hint="eastAsia" w:ascii="宋体" w:hAnsi="宋体" w:cs="宋体"/>
                <w:b/>
                <w:color w:val="000000" w:themeColor="text1"/>
                <w:szCs w:val="21"/>
              </w:rPr>
              <w:t>创新育人平台构建</w:t>
            </w:r>
            <w:r>
              <w:rPr>
                <w:rFonts w:hint="eastAsia" w:ascii="宋体" w:hAnsi="宋体" w:cs="宋体"/>
                <w:color w:val="000000" w:themeColor="text1"/>
                <w:szCs w:val="21"/>
              </w:rPr>
              <w:t>。学校强化家庭教育，突出家长在家庭教育中的主体责任，以家长自觉学习引领孩子主动读书，以家长行为端正引领孩子举止文明，以家庭气氛和谐引领孩子在校与同学和睦相处。活化社区教育，充分利用好社区教育网络和教育资源，延伸德育时空，加强社会实践和社会服务。实化在线教育，创造性地运用现代信息技术手段，开发网络德育资源，研究德育“互联网+”模式，搭建育人平台，突破时空限制，让立德树人在处处、时时、事事都能发挥积极的导向作用，为学生健康成长给予正能量。</w:t>
            </w:r>
            <w:r>
              <w:rPr>
                <w:rFonts w:hint="eastAsia" w:ascii="宋体" w:hAnsi="宋体" w:cs="宋体"/>
                <w:b/>
                <w:color w:val="000000" w:themeColor="text1"/>
                <w:szCs w:val="21"/>
              </w:rPr>
              <w:t>创新现代班集体建设。</w:t>
            </w:r>
            <w:r>
              <w:rPr>
                <w:rFonts w:hint="eastAsia" w:ascii="宋体" w:hAnsi="宋体" w:cs="宋体"/>
                <w:color w:val="000000" w:themeColor="text1"/>
                <w:szCs w:val="21"/>
              </w:rPr>
              <w:t>学校探索和创新现代班集体文化建设的实践方式，形成价值导向积极、充满人文关怀和具有个性特色的班集体文化；在形成班级共同愿景、优化班级自主管理、丰富班级活动、建构和谐人际关系、发挥每个成员作用、集体解决问题等方面，探索现代班集体的实践策略，为学生营造一个富有归属感、安全感、自主感和自我价值感的班集体；探索班主任专业素养的新内涵和培育路径；探索学校推进班集体建设，提升学校整体教育质量的实践机制与策略。</w:t>
            </w:r>
            <w:r>
              <w:rPr>
                <w:rFonts w:hint="eastAsia" w:ascii="宋体" w:hAnsi="宋体" w:cs="宋体"/>
                <w:b/>
                <w:color w:val="000000" w:themeColor="text1"/>
                <w:szCs w:val="21"/>
              </w:rPr>
              <w:t>创新积极德育实践方式</w:t>
            </w:r>
            <w:r>
              <w:rPr>
                <w:rFonts w:hint="eastAsia" w:ascii="宋体" w:hAnsi="宋体" w:cs="宋体"/>
                <w:color w:val="000000" w:themeColor="text1"/>
                <w:szCs w:val="21"/>
              </w:rPr>
              <w:t>。学校从日常生活入手，营造积极互动的人际关系和氛围；探索积极开放的社会实践活动方式，引导学生在参与社会实践中提升自己的品格；探索创新师德教育模式，引导教师提升自己的品格和心智模式，在为学生创造幸福中体验职业生命的幸福。</w:t>
            </w:r>
          </w:p>
          <w:p>
            <w:pPr>
              <w:spacing w:line="360" w:lineRule="exact"/>
              <w:ind w:firstLine="482" w:firstLineChars="200"/>
              <w:rPr>
                <w:szCs w:val="21"/>
              </w:rPr>
            </w:pPr>
            <w:r>
              <w:rPr>
                <w:rFonts w:hint="eastAsia" w:asciiTheme="minorEastAsia" w:hAnsiTheme="minorEastAsia" w:eastAsiaTheme="minorEastAsia"/>
                <w:b/>
                <w:sz w:val="24"/>
                <w:szCs w:val="21"/>
              </w:rPr>
              <w:t>C38：</w:t>
            </w:r>
            <w:r>
              <w:rPr>
                <w:rFonts w:hint="eastAsia"/>
                <w:b/>
                <w:bCs/>
                <w:szCs w:val="21"/>
              </w:rPr>
              <w:t>学校心理健康教育场所建设符合规范。</w:t>
            </w:r>
            <w:r>
              <w:rPr>
                <w:rFonts w:hint="eastAsia"/>
                <w:szCs w:val="21"/>
              </w:rPr>
              <w:t>学校心理咨询室有专用场所，设在方便学生进出且相对安静的弘美楼二楼，使用面积72平米，设有办公接待区和个别辅导区两个区域。通风采光效果较好，布局、摆设合理，环境舒适、温馨、宁静、保密、安全。心理咨询室内张贴心理健康教育的有关宣传资料，配备许多供师生阅览的心理健康读物。办公接待区配备电脑、电话、空调、心理书籍等设施，建立、健全学生心理健康档案。</w:t>
            </w:r>
          </w:p>
          <w:p>
            <w:pPr>
              <w:spacing w:line="360" w:lineRule="exact"/>
              <w:ind w:firstLine="422" w:firstLineChars="200"/>
              <w:rPr>
                <w:szCs w:val="21"/>
              </w:rPr>
            </w:pPr>
            <w:r>
              <w:rPr>
                <w:rFonts w:hint="eastAsia"/>
                <w:b/>
                <w:bCs/>
                <w:szCs w:val="21"/>
              </w:rPr>
              <w:t>有专兼职心理教师。</w:t>
            </w:r>
            <w:r>
              <w:rPr>
                <w:rFonts w:hint="eastAsia"/>
                <w:szCs w:val="21"/>
              </w:rPr>
              <w:t>国家二级心理咨询师宣建英老师为学校兼职心理辅导老师。</w:t>
            </w:r>
          </w:p>
          <w:p>
            <w:pPr>
              <w:spacing w:line="360" w:lineRule="exact"/>
              <w:ind w:firstLine="422" w:firstLineChars="200"/>
              <w:rPr>
                <w:szCs w:val="21"/>
              </w:rPr>
            </w:pPr>
            <w:r>
              <w:rPr>
                <w:rFonts w:hint="eastAsia"/>
                <w:b/>
                <w:bCs/>
                <w:szCs w:val="21"/>
              </w:rPr>
              <w:t>正常开展心理健康教育</w:t>
            </w:r>
            <w:r>
              <w:rPr>
                <w:rFonts w:hint="eastAsia"/>
                <w:szCs w:val="21"/>
              </w:rPr>
              <w:t>。学校正常开展心理健康教育，主要内容包括：普及心理健康知识，树立心理健康意识，了解心理调节方法，认识心理异常现象，掌握心理保健常识和技能。其重点是认识自我、学会学习、人际交往、情绪调适、升学择业以及生活和社会适应等方面的内容。</w:t>
            </w:r>
          </w:p>
          <w:p>
            <w:pPr>
              <w:spacing w:line="360" w:lineRule="exact"/>
              <w:ind w:firstLine="422" w:firstLineChars="200"/>
              <w:rPr>
                <w:szCs w:val="21"/>
              </w:rPr>
            </w:pPr>
            <w:r>
              <w:rPr>
                <w:rFonts w:hint="eastAsia"/>
                <w:b/>
                <w:bCs/>
                <w:szCs w:val="21"/>
              </w:rPr>
              <w:t>加强对学生的理想、品德、心理、职业生涯、学习与交往等多方面指导。</w:t>
            </w:r>
            <w:r>
              <w:rPr>
                <w:rFonts w:hint="eastAsia"/>
                <w:szCs w:val="21"/>
              </w:rPr>
              <w:t>学校通过开设《礼仪与生活》 、《生命成长之人生规划》等校本德育课程，组织各类主题德育活动等形式帮助学生确立正确的自我意识，树立人生理想和信念，形成正确的世界观、人生观和价值观。指导</w:t>
            </w:r>
            <w:r>
              <w:rPr>
                <w:szCs w:val="21"/>
              </w:rPr>
              <w:t>学生进一步提高承受失败和应对挫折的能力，形成良好的意志品质</w:t>
            </w:r>
            <w:r>
              <w:rPr>
                <w:rFonts w:hint="eastAsia"/>
                <w:szCs w:val="21"/>
              </w:rPr>
              <w:t>。指导学生</w:t>
            </w:r>
            <w:r>
              <w:rPr>
                <w:szCs w:val="21"/>
              </w:rPr>
              <w:t>在充分了解自己的兴趣、能力、性格、特长和社会需要的基础上，确立自己的职业志向，培养职业道德意识，进行升学就业的选择和准备，培养担当意识和社会责任感</w:t>
            </w:r>
            <w:r>
              <w:rPr>
                <w:rFonts w:hint="eastAsia"/>
                <w:szCs w:val="21"/>
              </w:rPr>
              <w:t>。指导学生培养创新精神和创新能力，掌握学习策略，开发学习潜能，提高学习效率，积极应对</w:t>
            </w:r>
            <w:r>
              <w:fldChar w:fldCharType="begin"/>
            </w:r>
            <w:r>
              <w:instrText xml:space="preserve"> HYPERLINK "http://home.5ykj.com/mnkc/" \t "http://www.5ykj.com/Article/cygwgzzd/_blank" </w:instrText>
            </w:r>
            <w:r>
              <w:fldChar w:fldCharType="separate"/>
            </w:r>
            <w:r>
              <w:rPr>
                <w:szCs w:val="21"/>
              </w:rPr>
              <w:t>考试</w:t>
            </w:r>
            <w:r>
              <w:rPr>
                <w:szCs w:val="21"/>
              </w:rPr>
              <w:fldChar w:fldCharType="end"/>
            </w:r>
            <w:r>
              <w:rPr>
                <w:szCs w:val="21"/>
              </w:rPr>
              <w:t>压力，克服</w:t>
            </w:r>
            <w:r>
              <w:fldChar w:fldCharType="begin"/>
            </w:r>
            <w:r>
              <w:instrText xml:space="preserve"> HYPERLINK "http://home.5ykj.com/mnkc/" \t "http://www.5ykj.com/Article/cygwgzzd/_blank" </w:instrText>
            </w:r>
            <w:r>
              <w:fldChar w:fldCharType="separate"/>
            </w:r>
            <w:r>
              <w:rPr>
                <w:szCs w:val="21"/>
              </w:rPr>
              <w:t>考试</w:t>
            </w:r>
            <w:r>
              <w:rPr>
                <w:szCs w:val="21"/>
              </w:rPr>
              <w:fldChar w:fldCharType="end"/>
            </w:r>
            <w:r>
              <w:rPr>
                <w:szCs w:val="21"/>
              </w:rPr>
              <w:t>焦虑</w:t>
            </w:r>
            <w:r>
              <w:rPr>
                <w:rFonts w:hint="eastAsia"/>
                <w:szCs w:val="21"/>
              </w:rPr>
              <w:t>。指导学生</w:t>
            </w:r>
            <w:r>
              <w:rPr>
                <w:szCs w:val="21"/>
              </w:rPr>
              <w:t>正确认识自己的人际关系状况，培养人际沟通能力，促进人际间的积极情感反应和体验，正确对待和异性同伴的交往，知道友谊和爱情的界限；</w:t>
            </w:r>
            <w:r>
              <w:rPr>
                <w:rFonts w:hint="eastAsia"/>
                <w:szCs w:val="21"/>
              </w:rPr>
              <w:t>通过心理健康教育学校学生心态健康、活泼开朗、乐观向上。</w:t>
            </w:r>
          </w:p>
          <w:p>
            <w:pPr>
              <w:spacing w:line="360" w:lineRule="exact"/>
              <w:ind w:firstLine="422" w:firstLineChars="200"/>
              <w:rPr>
                <w:szCs w:val="21"/>
              </w:rPr>
            </w:pPr>
            <w:r>
              <w:rPr>
                <w:rFonts w:hint="eastAsia"/>
                <w:b/>
                <w:bCs/>
                <w:szCs w:val="21"/>
              </w:rPr>
              <w:t>校园文化建设有规划</w:t>
            </w:r>
            <w:r>
              <w:rPr>
                <w:rFonts w:hint="eastAsia"/>
                <w:szCs w:val="21"/>
              </w:rPr>
              <w:t>，以“行”为核心，以校训“笃行”、 办学理念“让学生收获成功”、 校风“厚德、弘毅、践行”、 教风“敬业、博学、慎行”和 学风“勤勉、有恒、敏行”为内容的校园文化体系与校园环境相融，并在醒目处凸显，昭示着洛高人砥砺前行、矢志笃行的情怀和脚踏实地、勤勉进取的责任心。学校校门至尚德楼是以校训命名的“笃行园”。“笃行园”中，“行”文化广场、雕塑将“三风”精神融入环境构造，广场中央红色“行”字雕塑寓意深远，鲜明而又充分地展示了学校笃行致远、追求卓越的办学精神。草坪丛中，历任校长、知名校友、社会贤达姓名刻于文化石上并融入周围环境，让师生游于景，记于心，敏于行，慎于行。校门内东侧往南主干道“艺行路”，右侧建有省级科普教育基地——气象园地，左侧历届考取中央美院、中国美院、上海戏剧学院等杰出校友宣传牌静静矗立，不断激励后辈学子走向成功，彰显学校艺术教育的办学特色和成果。百米画廊分别布置于艺术楼和学生宿舍区，彰显着学校多年来的艺术教育特色成果；校史室、四库藏书室位于图书馆，见证学校的历史变迁和文化底蕴；教学区各大楼均有墙面装饰，或是科学文化名人介绍，或是名人书画，或是师生书画，或是师生活动展示，主题鲜明，内容丰富，在潜移默化中熏陶和感染着每一位洛高人。</w:t>
            </w:r>
          </w:p>
          <w:p>
            <w:pPr>
              <w:spacing w:line="360" w:lineRule="exact"/>
              <w:ind w:firstLine="422" w:firstLineChars="200"/>
              <w:rPr>
                <w:szCs w:val="21"/>
              </w:rPr>
            </w:pPr>
            <w:r>
              <w:rPr>
                <w:rFonts w:hint="eastAsia"/>
                <w:b/>
                <w:bCs/>
                <w:szCs w:val="21"/>
              </w:rPr>
              <w:t>校园文化建设有特色。</w:t>
            </w:r>
            <w:r>
              <w:rPr>
                <w:rFonts w:hint="eastAsia"/>
                <w:szCs w:val="21"/>
              </w:rPr>
              <w:t>学校校园建筑以白色为主，辅以蓝色点缀，使整体色调清幽洁净。学校主干道开阔平坦，连廊自由方便，小径清幽雅致。各校舍之间用树木和繁花区隔，树木四季常青，繁花一年多变，校园时时处处生机勃勃，活力无限，美观幽静，体现了自然为本、人文情怀、人境和谐的设计理念。学校在各个墙面大量装饰世界名画、学生艺术作品、名人名言等，彰显学校艺术特色。</w:t>
            </w:r>
          </w:p>
          <w:p>
            <w:pPr>
              <w:spacing w:line="360" w:lineRule="exact"/>
              <w:ind w:firstLine="422" w:firstLineChars="200"/>
              <w:rPr>
                <w:rFonts w:ascii="宋体"/>
                <w:b/>
                <w:sz w:val="24"/>
              </w:rPr>
            </w:pPr>
            <w:r>
              <w:rPr>
                <w:rFonts w:hint="eastAsia"/>
                <w:b/>
                <w:bCs/>
                <w:szCs w:val="21"/>
              </w:rPr>
              <w:t>校园文化建设有品位</w:t>
            </w:r>
            <w:r>
              <w:rPr>
                <w:rFonts w:hint="eastAsia"/>
                <w:szCs w:val="21"/>
              </w:rPr>
              <w:t>。学校环境优美、文化气息浓郁。学校高度重视校园文化建设，校园环境的打造以校园文化建设为依据，在环境建设、环境布置上融入文化元素，凸显“行”文化和“让学生收获成功”的办学理念，努力营造出文明和谐、催人奋进的校园文化氛围，形成自然、人文和谐统一的育人环境。漫步校园，新老建筑掩映于苍翠之中，文化小品点缀于绿树红花之间，移步换景，别有韵致。老树枯藤，见证学校发展历程；书声琴声，尽显学校累累硕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rPr>
                <w:rFonts w:ascii="宋体"/>
                <w:b/>
                <w:sz w:val="24"/>
              </w:rPr>
            </w:pPr>
          </w:p>
        </w:tc>
      </w:tr>
    </w:tbl>
    <w:p>
      <w:pPr>
        <w:rPr>
          <w:rFonts w:ascii="宋体"/>
          <w:b/>
          <w:szCs w:val="21"/>
        </w:rPr>
      </w:pPr>
      <w:r>
        <w:rPr>
          <w:rFonts w:hint="eastAsia" w:ascii="宋体"/>
        </w:rPr>
        <w:t>注：必查材料为学校近三学年度德育工作计划及总结、学生发展指导中心工作台账。</w:t>
      </w:r>
    </w:p>
    <w:p>
      <w:pPr>
        <w:rPr>
          <w:rFonts w:ascii="宋体"/>
          <w:b/>
          <w:szCs w:val="21"/>
        </w:rPr>
      </w:pP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spacing w:line="260" w:lineRule="exact"/>
              <w:ind w:right="-107" w:rightChars="-51"/>
              <w:rPr>
                <w:rFonts w:ascii="仿宋_GB2312" w:eastAsia="仿宋_GB2312"/>
                <w:color w:val="000000"/>
                <w:sz w:val="24"/>
                <w:szCs w:val="24"/>
              </w:rPr>
            </w:pPr>
            <w:r>
              <w:rPr>
                <w:rFonts w:hint="eastAsia" w:ascii="仿宋_GB2312" w:hAnsi="宋体" w:eastAsia="仿宋_GB2312" w:cs="宋体"/>
                <w:color w:val="000000"/>
                <w:sz w:val="24"/>
                <w:szCs w:val="24"/>
              </w:rPr>
              <w:t>B17．</w:t>
            </w:r>
          </w:p>
          <w:p>
            <w:pPr>
              <w:spacing w:line="260" w:lineRule="exact"/>
              <w:ind w:right="-107" w:rightChars="-51"/>
              <w:rPr>
                <w:rFonts w:ascii="仿宋_GB2312" w:eastAsia="仿宋_GB2312"/>
                <w:color w:val="000000"/>
                <w:sz w:val="24"/>
                <w:szCs w:val="24"/>
              </w:rPr>
            </w:pPr>
            <w:r>
              <w:rPr>
                <w:rFonts w:hint="eastAsia" w:ascii="仿宋_GB2312" w:hAnsi="宋体" w:eastAsia="仿宋_GB2312" w:cs="宋体"/>
                <w:color w:val="000000"/>
                <w:sz w:val="24"/>
                <w:szCs w:val="24"/>
              </w:rPr>
              <w:t>各项活动</w:t>
            </w:r>
          </w:p>
          <w:p>
            <w:pPr>
              <w:spacing w:line="330" w:lineRule="exact"/>
              <w:jc w:val="center"/>
              <w:rPr>
                <w:rFonts w:ascii="仿宋_GB2312" w:eastAsia="仿宋_GB2312"/>
                <w:color w:val="000000"/>
                <w:sz w:val="24"/>
                <w:szCs w:val="24"/>
              </w:rPr>
            </w:pPr>
            <w:r>
              <w:rPr>
                <w:rFonts w:hint="eastAsia" w:ascii="仿宋_GB2312" w:hAnsi="宋体" w:eastAsia="仿宋_GB2312" w:cs="宋体"/>
                <w:color w:val="000000"/>
                <w:sz w:val="24"/>
                <w:szCs w:val="24"/>
              </w:rPr>
              <w:t>（10分）</w:t>
            </w:r>
          </w:p>
        </w:tc>
        <w:tc>
          <w:tcPr>
            <w:tcW w:w="6720" w:type="dxa"/>
            <w:vAlign w:val="center"/>
          </w:tcPr>
          <w:p>
            <w:pPr>
              <w:spacing w:line="295" w:lineRule="exact"/>
              <w:ind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C39．注重知行统一，有效开展传统文化教育、生命教育、科技教育、环保教育等各类教育活动，做到有规划、有措施、有特色项目，师生参与面广，主题突出，丰富多彩，形成系列。（6分）</w:t>
            </w:r>
          </w:p>
          <w:p>
            <w:pPr>
              <w:spacing w:line="295" w:lineRule="exact"/>
              <w:ind w:firstLine="480" w:firstLineChars="200"/>
              <w:rPr>
                <w:rFonts w:ascii="仿宋_GB2312" w:eastAsia="仿宋_GB2312"/>
                <w:color w:val="000000"/>
                <w:sz w:val="24"/>
                <w:szCs w:val="24"/>
              </w:rPr>
            </w:pPr>
            <w:r>
              <w:rPr>
                <w:rFonts w:hint="eastAsia" w:ascii="仿宋_GB2312" w:hAnsi="宋体" w:eastAsia="仿宋_GB2312" w:cs="宋体"/>
                <w:color w:val="000000"/>
                <w:sz w:val="24"/>
                <w:szCs w:val="24"/>
              </w:rPr>
              <w:t>C40．学校、家庭、社会教育紧密结合。尊重家长，重视家访，办好家长学校，指导家长合理安排孩子的课余生活。积极争取有关部门及社区的支持，开发、利用校外公共资源，开展有益的实践活动。（4分）</w:t>
            </w:r>
          </w:p>
        </w:tc>
        <w:tc>
          <w:tcPr>
            <w:tcW w:w="1260" w:type="dxa"/>
            <w:vAlign w:val="center"/>
          </w:tcPr>
          <w:p>
            <w:pPr>
              <w:jc w:val="center"/>
              <w:rPr>
                <w:rFonts w:ascii="宋体"/>
              </w:rPr>
            </w:pPr>
            <w:r>
              <w:rPr>
                <w:rFonts w:hint="eastAsia" w:ascii="宋体"/>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spacing w:line="360" w:lineRule="exact"/>
              <w:ind w:firstLine="482" w:firstLineChars="200"/>
              <w:rPr>
                <w:rFonts w:ascii="仿宋_GB2312" w:hAnsi="宋体" w:cs="宋体"/>
                <w:szCs w:val="21"/>
              </w:rPr>
            </w:pPr>
            <w:r>
              <w:rPr>
                <w:rFonts w:hint="eastAsia" w:cs="宋体" w:asciiTheme="minorEastAsia" w:hAnsiTheme="minorEastAsia" w:eastAsiaTheme="minorEastAsia"/>
                <w:b/>
                <w:color w:val="000000"/>
                <w:sz w:val="24"/>
                <w:szCs w:val="24"/>
              </w:rPr>
              <w:t>C39：</w:t>
            </w:r>
            <w:r>
              <w:rPr>
                <w:rFonts w:hint="eastAsia" w:ascii="宋体" w:hAnsi="宋体"/>
                <w:szCs w:val="21"/>
              </w:rPr>
              <w:t>学校注重知行统一，按照“行”文化建设的要求并依据当代青少年心理、生理特点及成长规律和学校实际，开展了传统文化教育、爱国主义教育、诚信教育、励志感恩教育、法制安全教育、科普教育、环保教育、公民教育实践等主题教育活动。学校突出生命教育主项目，以热爱生命、完善生命、发展生命为重点，与弘扬“行”文化相结合，坚持按照一年一个阶段，一月一个主题的德育工作思路，全面整合德育主题活动。结合主题教育开展丰富多彩的活动，注重实效，做出特色，使活动系列化。</w:t>
            </w:r>
          </w:p>
          <w:p>
            <w:pPr>
              <w:spacing w:line="360" w:lineRule="exact"/>
              <w:ind w:firstLine="422" w:firstLineChars="200"/>
              <w:rPr>
                <w:rFonts w:ascii="宋体" w:hAnsi="宋体"/>
                <w:szCs w:val="21"/>
              </w:rPr>
            </w:pPr>
            <w:r>
              <w:rPr>
                <w:rFonts w:ascii="仿宋_GB2312" w:hAnsi="宋体" w:cs="宋体"/>
                <w:b/>
                <w:bCs/>
                <w:szCs w:val="21"/>
              </w:rPr>
              <w:t>注重知行统一，有效开展传统文化教育、生命教育、科技教育、环保教育等各类教育活动</w:t>
            </w:r>
            <w:r>
              <w:rPr>
                <w:rFonts w:hint="eastAsia" w:ascii="仿宋_GB2312" w:hAnsi="宋体" w:cs="宋体"/>
                <w:b/>
                <w:bCs/>
                <w:szCs w:val="21"/>
              </w:rPr>
              <w:t>。</w:t>
            </w:r>
            <w:r>
              <w:rPr>
                <w:rFonts w:hint="eastAsia" w:ascii="宋体" w:hAnsi="宋体"/>
                <w:szCs w:val="21"/>
              </w:rPr>
              <w:t>学校注重知行统一，突出生命教育主项目与弘扬“行”文化相结合的德育工作思路，结合学校实际，开展了传统文化教育、生命教育、爱国主义教育、诚信教育、励志感恩教育、法制安全教育、科普教育、环保教育、公民教育实践等各类主题教育活动。</w:t>
            </w:r>
          </w:p>
          <w:p>
            <w:pPr>
              <w:spacing w:line="360" w:lineRule="exact"/>
              <w:ind w:firstLine="422" w:firstLineChars="200"/>
              <w:rPr>
                <w:rFonts w:ascii="仿宋_GB2312" w:hAnsi="宋体" w:cs="宋体"/>
                <w:szCs w:val="21"/>
              </w:rPr>
            </w:pPr>
            <w:r>
              <w:rPr>
                <w:rFonts w:ascii="仿宋_GB2312" w:hAnsi="宋体" w:cs="宋体"/>
                <w:b/>
                <w:bCs/>
                <w:szCs w:val="21"/>
              </w:rPr>
              <w:t>教育活动做到有规划、有措施、有特色项目</w:t>
            </w:r>
            <w:r>
              <w:rPr>
                <w:rFonts w:hint="eastAsia" w:ascii="仿宋_GB2312" w:hAnsi="宋体" w:cs="宋体"/>
                <w:b/>
                <w:bCs/>
                <w:szCs w:val="21"/>
              </w:rPr>
              <w:t>。</w:t>
            </w:r>
            <w:r>
              <w:rPr>
                <w:rFonts w:ascii="仿宋_GB2312" w:hAnsi="宋体" w:cs="宋体"/>
                <w:b/>
                <w:bCs/>
                <w:szCs w:val="21"/>
              </w:rPr>
              <w:t>教育活动做到有规划</w:t>
            </w:r>
            <w:r>
              <w:rPr>
                <w:rFonts w:hint="eastAsia" w:ascii="仿宋_GB2312" w:hAnsi="宋体" w:cs="宋体"/>
                <w:b/>
                <w:bCs/>
                <w:szCs w:val="21"/>
              </w:rPr>
              <w:t>。</w:t>
            </w:r>
            <w:r>
              <w:rPr>
                <w:rFonts w:hint="eastAsia" w:ascii="宋体" w:hAnsi="宋体"/>
                <w:szCs w:val="21"/>
              </w:rPr>
              <w:t>学校根据《中学德育大纲》，结合学校实际，依据当代青少年心理、生理特点及成长规律，以“生命教育”为主题制定各年级分层培养目标。高一年级以“热爱生活，珍爱生命”为主题，培养能正确认识自我，认识生命，认识社会的合格中学生；高二年级以“热爱生活，完善生命”为主题，培养有责任感的中学生；高三年级以“热爱生活，发展生命</w:t>
            </w:r>
            <w:r>
              <w:rPr>
                <w:rFonts w:ascii="宋体" w:hAnsi="宋体"/>
                <w:szCs w:val="21"/>
              </w:rPr>
              <w:t>”</w:t>
            </w:r>
            <w:r>
              <w:rPr>
                <w:rFonts w:hint="eastAsia" w:ascii="宋体" w:hAnsi="宋体"/>
                <w:szCs w:val="21"/>
              </w:rPr>
              <w:t>为主题，培养人格健全、学业有成的中学生。坚持按照一年一个阶段，一月一个主题的德育工作思路，全面整合德育主题活动，结合主题教育开展丰富多彩的活动，师生参与面广，参与热情高。学校在高一年级开展新生入学教育、高二年级开展踏歌毅行励志远足活动、艺术班外出写生实践活动、高三结合高考励志的十八岁成人仪式，形成为学校特色德育活动，并坚持使活动系列化，产生良好的教育作用。</w:t>
            </w:r>
          </w:p>
          <w:p>
            <w:pPr>
              <w:spacing w:line="360" w:lineRule="exact"/>
              <w:ind w:firstLine="435"/>
              <w:rPr>
                <w:rFonts w:ascii="宋体" w:hAnsi="宋体"/>
                <w:szCs w:val="21"/>
              </w:rPr>
            </w:pPr>
            <w:r>
              <w:rPr>
                <w:rFonts w:ascii="仿宋_GB2312" w:hAnsi="宋体" w:cs="宋体"/>
                <w:b/>
                <w:bCs/>
                <w:szCs w:val="21"/>
              </w:rPr>
              <w:t>教育活动做到有措施</w:t>
            </w:r>
            <w:r>
              <w:rPr>
                <w:rFonts w:hint="eastAsia" w:ascii="仿宋_GB2312" w:hAnsi="宋体" w:cs="宋体"/>
                <w:b/>
                <w:bCs/>
                <w:szCs w:val="21"/>
              </w:rPr>
              <w:t>。</w:t>
            </w:r>
            <w:r>
              <w:rPr>
                <w:rFonts w:hint="eastAsia" w:ascii="宋体" w:hAnsi="宋体"/>
              </w:rPr>
              <w:t>组织机构健全，成立以党支部、校长室为核心，以政教处、团委、学生会为主体的工作机构；建立了校长室、政教处、年级组、班级四级管理网络，具体落实工作；构建了学校、家庭、社会三结合的网络体系。制度保障到位，学校制定《洛阳高级中学德育工作三年规划》《洛阳高级中学德育常规管理方案》等工作制度。课程实施跟上，开发</w:t>
            </w:r>
            <w:r>
              <w:rPr>
                <w:rFonts w:hint="eastAsia" w:ascii="宋体" w:hAnsi="宋体" w:cs="宋体"/>
                <w:kern w:val="0"/>
                <w:szCs w:val="21"/>
              </w:rPr>
              <w:t>实施了</w:t>
            </w:r>
            <w:r>
              <w:rPr>
                <w:rFonts w:hint="eastAsia" w:ascii="宋体" w:hAnsi="宋体"/>
                <w:szCs w:val="21"/>
              </w:rPr>
              <w:t>《艺术与人生》必修校本课程和</w:t>
            </w:r>
            <w:r>
              <w:rPr>
                <w:rFonts w:hint="eastAsia" w:ascii="宋体" w:hAnsi="宋体" w:cs="宋体"/>
                <w:kern w:val="0"/>
                <w:szCs w:val="21"/>
              </w:rPr>
              <w:t>《人生规划》</w:t>
            </w:r>
            <w:r>
              <w:rPr>
                <w:rFonts w:hint="eastAsia" w:ascii="宋体" w:hAnsi="宋体"/>
                <w:szCs w:val="21"/>
              </w:rPr>
              <w:t>《礼仪与生活》等选修校本课程。</w:t>
            </w:r>
          </w:p>
          <w:p>
            <w:pPr>
              <w:spacing w:line="360" w:lineRule="exact"/>
              <w:ind w:firstLine="422" w:firstLineChars="200"/>
              <w:rPr>
                <w:szCs w:val="21"/>
              </w:rPr>
            </w:pPr>
            <w:r>
              <w:rPr>
                <w:rFonts w:ascii="仿宋_GB2312" w:hAnsi="宋体" w:cs="宋体"/>
                <w:b/>
                <w:bCs/>
                <w:szCs w:val="21"/>
              </w:rPr>
              <w:t>教育活动做到有特色项目</w:t>
            </w:r>
            <w:r>
              <w:rPr>
                <w:rFonts w:hint="eastAsia" w:ascii="仿宋_GB2312" w:hAnsi="宋体" w:cs="宋体"/>
                <w:b/>
                <w:bCs/>
                <w:szCs w:val="21"/>
              </w:rPr>
              <w:t>。</w:t>
            </w:r>
            <w:r>
              <w:rPr>
                <w:rFonts w:hint="eastAsia" w:ascii="宋体" w:hAnsi="宋体"/>
                <w:szCs w:val="21"/>
              </w:rPr>
              <w:t>学校经过多年教育活动的探索和实践，</w:t>
            </w:r>
            <w:r>
              <w:rPr>
                <w:rFonts w:hint="eastAsia" w:cs="宋体"/>
                <w:kern w:val="0"/>
                <w:szCs w:val="21"/>
              </w:rPr>
              <w:t>形成了生命教育特色项目活动。</w:t>
            </w:r>
            <w:r>
              <w:rPr>
                <w:rFonts w:hint="eastAsia" w:ascii="宋体" w:hAnsi="宋体"/>
                <w:color w:val="000000"/>
                <w:szCs w:val="21"/>
              </w:rPr>
              <w:t>学校是常州市生命教育项目学校，多年来，以“热爱生命、完善生命、发展生命”为重点，逐步形成德育特色。</w:t>
            </w:r>
            <w:r>
              <w:rPr>
                <w:rFonts w:hint="eastAsia"/>
                <w:szCs w:val="21"/>
              </w:rPr>
              <w:t>学校在高一年级开展新生入学教育、高二年级开展踏歌毅行励志远足活动、高三结合高考励志的十八岁成人仪式，形成为学校特色德育活动，产生良好的教育作用。学校的艺术教育在“润泽生命、健全人格”价值引领下积极探索普及与提高的培养模式，成立了</w:t>
            </w:r>
            <w:r>
              <w:rPr>
                <w:rFonts w:hint="eastAsia" w:cs="宋体"/>
                <w:kern w:val="0"/>
                <w:szCs w:val="21"/>
              </w:rPr>
              <w:t>“色彩飞扬”、“水墨之旅”、“动漫堡”等社团，学生在不同的社团中收获了成功的快乐和喜悦</w:t>
            </w:r>
            <w:r>
              <w:rPr>
                <w:rFonts w:hint="eastAsia"/>
                <w:szCs w:val="21"/>
              </w:rPr>
              <w:t>。</w:t>
            </w:r>
            <w:r>
              <w:rPr>
                <w:rFonts w:hint="eastAsia" w:cs="宋体"/>
                <w:kern w:val="0"/>
                <w:szCs w:val="21"/>
              </w:rPr>
              <w:t>学校每年组织学生赴浙江丽水、安徽西递宏村等地方进行写生教育活动，拓展了活动空间，彰显了特色亮点。学生参加全国、省、市级竞赛成绩斐然，每年都有学生在绘画、书法、民乐合奏、器乐重奏、合唱、舞蹈、体育、演讲等大赛中屡获殊荣。</w:t>
            </w:r>
            <w:r>
              <w:rPr>
                <w:rFonts w:hint="eastAsia" w:ascii="宋体" w:hAnsi="宋体"/>
                <w:color w:val="000000"/>
                <w:szCs w:val="21"/>
              </w:rPr>
              <w:t>校合唱团在市中小学生艺术展演活动中，获常州市一等奖。</w:t>
            </w:r>
            <w:r>
              <w:rPr>
                <w:rFonts w:hint="eastAsia" w:cs="宋体"/>
                <w:kern w:val="0"/>
                <w:szCs w:val="21"/>
              </w:rPr>
              <w:t>多个社团获武进区“十佳社团”和“优秀社团”称号。</w:t>
            </w:r>
            <w:r>
              <w:rPr>
                <w:rFonts w:hint="eastAsia" w:ascii="宋体" w:hAnsi="宋体"/>
                <w:color w:val="000000"/>
                <w:szCs w:val="21"/>
              </w:rPr>
              <w:t>社团活动既调动了学生的积极性，张扬了学生的个性，培养了学生的特长，又促进了学生素质的全面提高。学校每年举办艺术节为学生创造展示自我的机会，体验过程的愉悦，收获成功的快乐，至今已经连续23届。学校被评为“常州市德育特色学校”、“常州市廉洁教育示范学校”。</w:t>
            </w:r>
          </w:p>
          <w:p>
            <w:pPr>
              <w:spacing w:line="360" w:lineRule="exact"/>
              <w:ind w:firstLine="422" w:firstLineChars="200"/>
              <w:rPr>
                <w:rFonts w:ascii="仿宋_GB2312" w:hAnsi="宋体" w:cs="宋体"/>
                <w:szCs w:val="21"/>
              </w:rPr>
            </w:pPr>
            <w:r>
              <w:rPr>
                <w:rFonts w:ascii="仿宋_GB2312" w:hAnsi="宋体" w:cs="宋体"/>
                <w:b/>
                <w:bCs/>
                <w:szCs w:val="21"/>
              </w:rPr>
              <w:t>师生参与面广，主题突出，丰富多彩，形成系列</w:t>
            </w:r>
            <w:r>
              <w:rPr>
                <w:rFonts w:ascii="仿宋_GB2312" w:hAnsi="宋体" w:cs="宋体"/>
                <w:szCs w:val="21"/>
              </w:rPr>
              <w:t>。</w:t>
            </w:r>
          </w:p>
          <w:p>
            <w:pPr>
              <w:spacing w:line="360" w:lineRule="exact"/>
              <w:ind w:firstLine="435"/>
              <w:rPr>
                <w:rFonts w:ascii="宋体" w:hAnsi="宋体"/>
                <w:szCs w:val="21"/>
              </w:rPr>
            </w:pPr>
            <w:r>
              <w:rPr>
                <w:rFonts w:hint="eastAsia" w:ascii="仿宋_GB2312" w:hAnsi="宋体" w:cs="宋体"/>
                <w:szCs w:val="21"/>
              </w:rPr>
              <w:t>学校</w:t>
            </w:r>
            <w:r>
              <w:rPr>
                <w:rFonts w:hint="eastAsia" w:cs="宋体"/>
                <w:kern w:val="0"/>
                <w:szCs w:val="21"/>
              </w:rPr>
              <w:t>每年举办校园文化艺术节、体育节、教师趣味运动会、读书节。学校每年组织学生赴浙江丽水、安徽西递宏村写生等实践活动，拓展了活动空间，彰显了特色亮点。综合实践活动稳步开展，研究性学习、社区服务和社会实践等活动让学生接触社会、服务社会，逐步提高学生综合实践能力。学校成立了“色彩飞扬”、“水墨之旅”、“动漫堡”等10多个社团，有教师参与指导，学生兴趣发展，收获成功。</w:t>
            </w:r>
            <w:r>
              <w:rPr>
                <w:rFonts w:hint="eastAsia" w:ascii="仿宋_GB2312" w:hAnsi="宋体" w:cs="宋体"/>
                <w:bCs/>
                <w:szCs w:val="21"/>
              </w:rPr>
              <w:t>学校</w:t>
            </w:r>
            <w:r>
              <w:rPr>
                <w:rFonts w:hint="eastAsia" w:cs="宋体"/>
                <w:kern w:val="0"/>
                <w:szCs w:val="21"/>
              </w:rPr>
              <w:t>每年举办为期一个月的“校园文化艺术节”、科普活动周、阳光体育节、读书节等大型活动，</w:t>
            </w:r>
            <w:r>
              <w:rPr>
                <w:rFonts w:hint="eastAsia" w:ascii="宋体" w:hAnsi="宋体"/>
                <w:szCs w:val="21"/>
              </w:rPr>
              <w:t>结合各类主题教育开展了丰富多彩的活动，注重实效，做出特色，使活动系列化。每年2～3月份开展“讲文明、懂礼仪、树新风”为主题的学雷锋系列教育活动；4月份举办 “缅怀革命先烈，拥抱青山绿水”为主题的</w:t>
            </w:r>
            <w:r>
              <w:rPr>
                <w:rFonts w:ascii="宋体" w:hAnsi="宋体"/>
                <w:szCs w:val="21"/>
              </w:rPr>
              <w:t>中华</w:t>
            </w:r>
            <w:r>
              <w:rPr>
                <w:rFonts w:hint="eastAsia" w:ascii="宋体" w:hAnsi="宋体"/>
                <w:szCs w:val="21"/>
              </w:rPr>
              <w:t>传统</w:t>
            </w:r>
            <w:r>
              <w:rPr>
                <w:rFonts w:ascii="宋体" w:hAnsi="宋体"/>
                <w:szCs w:val="21"/>
              </w:rPr>
              <w:t>文化</w:t>
            </w:r>
            <w:r>
              <w:rPr>
                <w:rFonts w:hint="eastAsia" w:ascii="宋体" w:hAnsi="宋体"/>
                <w:szCs w:val="21"/>
              </w:rPr>
              <w:t>教育系列活动；5月份进行科普教育；6月份实施感恩励志教育；8～9月份开展“学规范、遵守则、见行动”养成教育；10月份举行“爱国爱家乡爱校”系列教育；11月份开展“安全伴我行”安全教育系列活动；12月份举办“法与我同行”等主题教育系列活动。主题突出，特色鲜明，形成系列。</w:t>
            </w:r>
          </w:p>
          <w:p>
            <w:pPr>
              <w:spacing w:line="360" w:lineRule="exact"/>
              <w:ind w:firstLine="435"/>
              <w:rPr>
                <w:rFonts w:ascii="仿宋_GB2312" w:hAnsi="宋体" w:cs="宋体"/>
                <w:b/>
                <w:bCs/>
                <w:color w:val="000000"/>
                <w:szCs w:val="21"/>
              </w:rPr>
            </w:pPr>
            <w:r>
              <w:rPr>
                <w:rFonts w:hint="eastAsia" w:cs="宋体" w:asciiTheme="minorEastAsia" w:hAnsiTheme="minorEastAsia" w:eastAsiaTheme="minorEastAsia"/>
                <w:b/>
                <w:bCs/>
                <w:color w:val="000000"/>
                <w:sz w:val="24"/>
                <w:szCs w:val="24"/>
              </w:rPr>
              <w:t>C40：</w:t>
            </w:r>
            <w:r>
              <w:rPr>
                <w:rFonts w:hint="eastAsia"/>
                <w:color w:val="000000"/>
              </w:rPr>
              <w:t>学校积极拓展教育空间，</w:t>
            </w:r>
            <w:r>
              <w:rPr>
                <w:rFonts w:hint="eastAsia"/>
                <w:color w:val="000000"/>
                <w:szCs w:val="21"/>
              </w:rPr>
              <w:t>建立学校</w:t>
            </w:r>
            <w:r>
              <w:rPr>
                <w:rFonts w:hint="eastAsia" w:ascii="宋体"/>
                <w:color w:val="000000"/>
                <w:szCs w:val="21"/>
              </w:rPr>
              <w:t>、家庭、社会沟通合作的渠道和机制，切实完善学校与家长、社会三结合的有效教育机制。</w:t>
            </w:r>
            <w:r>
              <w:rPr>
                <w:rFonts w:hint="eastAsia"/>
                <w:color w:val="000000"/>
                <w:szCs w:val="21"/>
              </w:rPr>
              <w:t>学校成立家长委员会，召开家长委员会会议，听取家长委员的意见和建议。学校充分挖掘家长资源，由家长委员亲自担任学生的“社会导师”，或由他们联系社会各界成功人士为学生开设励志讲座，为学生提供社会实践场所，为学校中学生人生规划教育充实内容。</w:t>
            </w:r>
          </w:p>
          <w:p>
            <w:pPr>
              <w:spacing w:line="360" w:lineRule="exact"/>
              <w:ind w:firstLine="407" w:firstLineChars="194"/>
              <w:rPr>
                <w:rFonts w:ascii="宋体" w:hAnsi="宋体" w:cs="宋体"/>
                <w:color w:val="000000"/>
                <w:szCs w:val="21"/>
              </w:rPr>
            </w:pPr>
            <w:r>
              <w:rPr>
                <w:rFonts w:hint="eastAsia" w:ascii="宋体" w:hAnsi="宋体"/>
                <w:color w:val="000000" w:themeColor="text1"/>
                <w:szCs w:val="21"/>
              </w:rPr>
              <w:t>学校成立了学生家长委员会，利用学校、家庭和社会三结合教育的有效途径，形成教育合力，</w:t>
            </w:r>
            <w:r>
              <w:rPr>
                <w:rFonts w:hint="eastAsia" w:ascii="宋体" w:hAnsi="宋体"/>
                <w:color w:val="000000" w:themeColor="text1"/>
              </w:rPr>
              <w:t>构建了学校、家庭、社会三结合的网络体系，</w:t>
            </w:r>
            <w:r>
              <w:rPr>
                <w:rFonts w:hint="eastAsia" w:ascii="宋体" w:hAnsi="宋体"/>
                <w:color w:val="000000" w:themeColor="text1"/>
                <w:szCs w:val="21"/>
              </w:rPr>
              <w:t>通过家长代表座谈会、家长会、和教育平台，家校联系QQ群和微信群等加强家校联系。</w:t>
            </w:r>
            <w:r>
              <w:rPr>
                <w:rFonts w:hint="eastAsia"/>
                <w:color w:val="000000"/>
                <w:szCs w:val="21"/>
              </w:rPr>
              <w:t>学校尊重家长，注重沟通，建立健全家访制度，教师家访经常化。学校成立</w:t>
            </w:r>
            <w:r>
              <w:rPr>
                <w:rFonts w:hint="eastAsia" w:ascii="宋体" w:hAnsi="宋体"/>
                <w:color w:val="000000"/>
                <w:szCs w:val="21"/>
              </w:rPr>
              <w:t>家长委员会，</w:t>
            </w:r>
            <w:r>
              <w:rPr>
                <w:rFonts w:hint="eastAsia"/>
                <w:color w:val="000000"/>
                <w:szCs w:val="21"/>
              </w:rPr>
              <w:t>定期召开家长委员会议</w:t>
            </w:r>
            <w:r>
              <w:rPr>
                <w:rFonts w:hint="eastAsia" w:ascii="宋体" w:hAnsi="宋体"/>
                <w:color w:val="000000"/>
                <w:szCs w:val="21"/>
              </w:rPr>
              <w:t>，</w:t>
            </w:r>
            <w:r>
              <w:rPr>
                <w:rFonts w:hint="eastAsia"/>
                <w:color w:val="000000"/>
                <w:szCs w:val="21"/>
              </w:rPr>
              <w:t>共商学校发展大业</w:t>
            </w:r>
            <w:r>
              <w:rPr>
                <w:rFonts w:hint="eastAsia" w:ascii="宋体" w:hAnsi="宋体"/>
                <w:color w:val="000000"/>
                <w:szCs w:val="21"/>
              </w:rPr>
              <w:t>。举办家长学校，指导家长合理安排学生假期生活，每学期举行不同类型的家长会，向家长汇报学校的发展情况，发挥家长在管理中的作用。通过</w:t>
            </w:r>
            <w:r>
              <w:rPr>
                <w:rFonts w:hint="eastAsia"/>
                <w:color w:val="000000"/>
                <w:szCs w:val="21"/>
              </w:rPr>
              <w:t>和教育</w:t>
            </w:r>
            <w:r>
              <w:rPr>
                <w:rFonts w:hint="eastAsia" w:ascii="宋体" w:hAnsi="宋体"/>
                <w:color w:val="000000"/>
                <w:szCs w:val="21"/>
              </w:rPr>
              <w:t>平台、电话、QQ群、微信群、告家长书等方式，向家长发布学生在校情况、家庭教育建议等，同时吸取家长的建议和意见，让家长参与教育教学管理，使学校与家庭、社会的沟通更具实时性、双向性</w:t>
            </w:r>
            <w:r>
              <w:rPr>
                <w:rFonts w:hint="eastAsia"/>
                <w:color w:val="000000"/>
                <w:szCs w:val="21"/>
              </w:rPr>
              <w:t>。</w:t>
            </w:r>
          </w:p>
          <w:p>
            <w:pPr>
              <w:spacing w:line="360" w:lineRule="exact"/>
              <w:ind w:firstLine="407" w:firstLineChars="194"/>
              <w:rPr>
                <w:rFonts w:ascii="宋体"/>
                <w:b/>
                <w:sz w:val="24"/>
              </w:rPr>
            </w:pPr>
            <w:r>
              <w:rPr>
                <w:rFonts w:hint="eastAsia"/>
                <w:color w:val="000000"/>
              </w:rPr>
              <w:t>学校十分重视校外资源的开发和利用，特别是结合洛阳镇本地各类资源为师生开展德育活动和课改服务，已建立26个校外综合实践活动基地。目前学校已将王诤将军纪念馆、冯仲云将军纪念馆、武进区国防教育中心等作为爱国主义教育基地；将安徽西递、浙江丽水、武进博物馆等作为艺术教育实践基地；洛阳敬老院等作为学生志愿者活动基地；洛阳农业特色果品示范科技园，新乐凯机电等地方特色农业、工业企业作为学生社会实践基地；实施警校共建，与常州市消防安居培训中心、武进洛阳交警中队、武进洛阳派出所协同对学生进行消防知识、法制安全等讲座，指导学生进行消防演练、安全疏散演练等，有效地促进学生综合素质的提升。学校充分利用常州恐龙园、常州天目湖等本地区资源，组织学生进行社会实践活动，锻炼学生的创新能力和实践能力；积极组织学生到社区参加宣传教育、公益活动、帮贫助困、慰问演出等社区服务，培养学生的公民意识和社会责任感；充分利用本地的自然、人文、人力等校内外教育资源，结合学生实际和本地区特点，进行研究性学习，培养学生热爱家乡、热爱祖国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rPr>
                <w:rFonts w:ascii="宋体"/>
                <w:b/>
                <w:sz w:val="24"/>
              </w:rPr>
            </w:pPr>
          </w:p>
        </w:tc>
      </w:tr>
    </w:tbl>
    <w:p>
      <w:pPr>
        <w:rPr>
          <w:rFonts w:hint="eastAsia" w:ascii="宋体"/>
        </w:rPr>
      </w:pPr>
      <w:r>
        <w:rPr>
          <w:rFonts w:hint="eastAsia" w:ascii="宋体"/>
        </w:rPr>
        <w:t>注：必查材料为家长学校制度及活动记录、德育基地建设与德育实践活动相关材料，校外社会实践活动、学生校外开展研究性学习活动相关材料。</w:t>
      </w: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ascii="宋体"/>
          <w:b/>
          <w:szCs w:val="21"/>
        </w:rPr>
      </w:pPr>
    </w:p>
    <w:p>
      <w:pPr>
        <w:rPr>
          <w:rFonts w:ascii="宋体"/>
          <w:b/>
          <w:szCs w:val="21"/>
        </w:rPr>
      </w:pP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spacing w:line="260" w:lineRule="exact"/>
              <w:ind w:right="-107" w:rightChars="-51"/>
              <w:rPr>
                <w:rFonts w:ascii="仿宋_GB2312" w:eastAsia="仿宋_GB2312"/>
                <w:color w:val="000000"/>
                <w:sz w:val="24"/>
                <w:szCs w:val="24"/>
              </w:rPr>
            </w:pPr>
            <w:r>
              <w:rPr>
                <w:rFonts w:hint="eastAsia" w:ascii="仿宋_GB2312" w:hAnsi="宋体" w:eastAsia="仿宋_GB2312" w:cs="宋体"/>
                <w:color w:val="000000"/>
                <w:sz w:val="24"/>
                <w:szCs w:val="24"/>
              </w:rPr>
              <w:t>B18．</w:t>
            </w:r>
          </w:p>
          <w:p>
            <w:pPr>
              <w:spacing w:line="260" w:lineRule="exact"/>
              <w:ind w:right="-107" w:rightChars="-51"/>
              <w:rPr>
                <w:rFonts w:ascii="仿宋_GB2312" w:eastAsia="仿宋_GB2312"/>
                <w:color w:val="000000"/>
                <w:sz w:val="24"/>
                <w:szCs w:val="24"/>
              </w:rPr>
            </w:pPr>
            <w:r>
              <w:rPr>
                <w:rFonts w:hint="eastAsia" w:ascii="仿宋_GB2312" w:hAnsi="宋体" w:eastAsia="仿宋_GB2312" w:cs="宋体"/>
                <w:color w:val="000000"/>
                <w:sz w:val="24"/>
                <w:szCs w:val="24"/>
              </w:rPr>
              <w:t>教学常规</w:t>
            </w:r>
          </w:p>
          <w:p>
            <w:pPr>
              <w:spacing w:line="340" w:lineRule="exact"/>
              <w:ind w:right="-107" w:rightChars="-51"/>
              <w:jc w:val="center"/>
              <w:rPr>
                <w:rFonts w:ascii="仿宋_GB2312" w:eastAsia="仿宋_GB2312"/>
                <w:color w:val="000000"/>
                <w:sz w:val="24"/>
                <w:szCs w:val="24"/>
              </w:rPr>
            </w:pPr>
            <w:r>
              <w:rPr>
                <w:rFonts w:hint="eastAsia" w:ascii="仿宋_GB2312" w:hAnsi="宋体" w:eastAsia="仿宋_GB2312" w:cs="宋体"/>
                <w:color w:val="000000"/>
                <w:sz w:val="24"/>
                <w:szCs w:val="24"/>
              </w:rPr>
              <w:t>（12分）</w:t>
            </w:r>
          </w:p>
        </w:tc>
        <w:tc>
          <w:tcPr>
            <w:tcW w:w="6720" w:type="dxa"/>
            <w:vAlign w:val="center"/>
          </w:tcPr>
          <w:p>
            <w:pPr>
              <w:spacing w:line="295" w:lineRule="exact"/>
              <w:ind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C41．牢固确立有效教学理念，有“减负增效”具体措施及落实机制。实行课业负担监控与问责。（5分）</w:t>
            </w:r>
          </w:p>
          <w:p>
            <w:pPr>
              <w:spacing w:line="295" w:lineRule="exact"/>
              <w:ind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C42．认真落实《常州市关于进一步深化中小学课堂教学改革的实施意见》，确立教学即研究的意识，教学管理精细到位，集体备课务实，倡导网络备课，课堂教学高效，语言文字规范。现代化教学手段运用恰当，“班班通”覆盖率达100%。改进课堂练习的形式与内容，根据学情即时调整教学节奏；教学反思成为常态、注重实效。（7分）</w:t>
            </w:r>
          </w:p>
        </w:tc>
        <w:tc>
          <w:tcPr>
            <w:tcW w:w="1260" w:type="dxa"/>
            <w:vAlign w:val="center"/>
          </w:tcPr>
          <w:p>
            <w:pPr>
              <w:jc w:val="center"/>
              <w:rPr>
                <w:rFonts w:ascii="宋体"/>
              </w:rPr>
            </w:pPr>
            <w:r>
              <w:rPr>
                <w:rFonts w:hint="eastAsia" w:ascii="宋体"/>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pStyle w:val="6"/>
              <w:spacing w:line="360" w:lineRule="exact"/>
              <w:ind w:firstLine="482" w:firstLineChars="200"/>
              <w:rPr>
                <w:rFonts w:ascii="Times New Roman" w:hAnsi="Times New Roman" w:eastAsia="宋体"/>
                <w:color w:val="000000"/>
                <w:szCs w:val="20"/>
              </w:rPr>
            </w:pPr>
            <w:r>
              <w:rPr>
                <w:rFonts w:hint="eastAsia" w:asciiTheme="minorEastAsia" w:hAnsiTheme="minorEastAsia" w:eastAsiaTheme="minorEastAsia"/>
                <w:b/>
                <w:color w:val="000000"/>
                <w:sz w:val="24"/>
                <w:szCs w:val="20"/>
              </w:rPr>
              <w:t>C41:</w:t>
            </w:r>
            <w:r>
              <w:rPr>
                <w:rFonts w:hint="eastAsia" w:ascii="Times New Roman" w:hAnsi="Times New Roman" w:eastAsia="宋体"/>
                <w:b/>
                <w:color w:val="000000"/>
                <w:szCs w:val="20"/>
              </w:rPr>
              <w:t>牢固确立有效教学理念，</w:t>
            </w:r>
            <w:r>
              <w:rPr>
                <w:rFonts w:hint="eastAsia" w:ascii="Times New Roman" w:hAnsi="Times New Roman" w:eastAsia="宋体"/>
                <w:color w:val="000000"/>
                <w:szCs w:val="20"/>
              </w:rPr>
              <w:t xml:space="preserve">有“减负增效”具体措施及落实机制。随着新课程改革的不断深入，学校严格遵守“五严”要求，制定了《洛阳高级中学进一步规范学校管理切实减轻学生课业负担的实施办法》，并根据实际开展教学改革。学校制定了《洛阳高级中学“生本课堂”实验实施方案》，积极进行“生本课堂”教学模式的探索、实践，以学生的积极参与为前提，倡导自主学习、合作学习和探究性学习，教师不断更新教学观念，改革教学模式，切实做到减负增效。学校改革课堂教学评价标准，引导教师重视方法指导、思维训练；改革校本教研制度，加强教研组与备课组建设。近年来，学校教师的教学观念、教学方式均发生较大的转变。学校的教学质量每年都有新进步新提高。在各级各类学科比赛中，学校捷报频传。《江苏教育报》《常州日报》《武进日报》等报纸也专题介绍了学校成功的办学思路、教学理念与教学成效。  </w:t>
            </w:r>
          </w:p>
          <w:p>
            <w:pPr>
              <w:pStyle w:val="6"/>
              <w:spacing w:line="360" w:lineRule="exact"/>
              <w:ind w:firstLine="316" w:firstLineChars="150"/>
              <w:rPr>
                <w:rFonts w:ascii="Times New Roman" w:hAnsi="Times New Roman" w:eastAsia="宋体"/>
                <w:color w:val="000000"/>
                <w:szCs w:val="20"/>
              </w:rPr>
            </w:pPr>
            <w:r>
              <w:rPr>
                <w:rFonts w:hint="eastAsia" w:ascii="Times New Roman" w:hAnsi="Times New Roman" w:eastAsia="宋体"/>
                <w:b/>
                <w:color w:val="000000"/>
                <w:szCs w:val="20"/>
              </w:rPr>
              <w:t>实行课业负担监控与问责。</w:t>
            </w:r>
            <w:r>
              <w:rPr>
                <w:rFonts w:hint="eastAsia" w:ascii="Times New Roman" w:hAnsi="Times New Roman" w:eastAsia="宋体"/>
                <w:color w:val="000000"/>
                <w:szCs w:val="20"/>
              </w:rPr>
              <w:t>教研处定期抽查教师的作业布置与批改，在学生中针对作业布置、批改和辅导等情况开展问卷调查，监控学生的课业负担，把减负增效与教师的评优评先和绩效考核挂钩，发现问题，及时进行整改。指导学生开展学科整理，制定学习计划，带着目标学习等，让学生在自主学习的每一个时段都带着目标、任务去学习，使学生学会规范地学习与自主学习，形成良好的学习品质，提高学习效率，真正减轻学习负担。</w:t>
            </w:r>
          </w:p>
          <w:p>
            <w:pPr>
              <w:pStyle w:val="6"/>
              <w:spacing w:line="360" w:lineRule="exact"/>
              <w:ind w:firstLine="482" w:firstLineChars="200"/>
              <w:rPr>
                <w:rFonts w:ascii="Times New Roman" w:hAnsi="Times New Roman" w:eastAsia="宋体"/>
                <w:color w:val="000000"/>
                <w:szCs w:val="20"/>
              </w:rPr>
            </w:pPr>
            <w:r>
              <w:rPr>
                <w:rFonts w:hint="eastAsia" w:asciiTheme="minorEastAsia" w:hAnsiTheme="minorEastAsia" w:eastAsiaTheme="minorEastAsia"/>
                <w:b/>
                <w:color w:val="000000"/>
                <w:sz w:val="24"/>
                <w:szCs w:val="20"/>
              </w:rPr>
              <w:t>C42:</w:t>
            </w:r>
            <w:r>
              <w:rPr>
                <w:rFonts w:hint="eastAsia" w:ascii="Times New Roman" w:hAnsi="Times New Roman" w:eastAsia="宋体"/>
                <w:b/>
                <w:color w:val="000000"/>
                <w:szCs w:val="20"/>
              </w:rPr>
              <w:t>确立教学即研究的意识。</w:t>
            </w:r>
            <w:r>
              <w:rPr>
                <w:rFonts w:hint="eastAsia" w:ascii="Times New Roman" w:hAnsi="Times New Roman" w:eastAsia="宋体"/>
                <w:color w:val="000000"/>
                <w:szCs w:val="20"/>
              </w:rPr>
              <w:t>学校认真落实《常州市关于进一步深化中小学课堂教学改革的实施意见》，制定了《洛阳高级中学进一步深化课堂教学改革行动方案》，指导教师开展课堂研究，确立教学即研究的意识。教学管理精细到位，集体备课务实，倡导网络备课，课堂教学高效，语言文字规范，教学管理精细到位。</w:t>
            </w:r>
          </w:p>
          <w:p>
            <w:pPr>
              <w:spacing w:line="360" w:lineRule="exact"/>
              <w:jc w:val="left"/>
              <w:outlineLvl w:val="2"/>
              <w:rPr>
                <w:color w:val="000000"/>
              </w:rPr>
            </w:pPr>
            <w:r>
              <w:rPr>
                <w:rFonts w:hint="eastAsia"/>
                <w:color w:val="000000"/>
              </w:rPr>
              <w:t xml:space="preserve">    </w:t>
            </w:r>
            <w:r>
              <w:rPr>
                <w:rFonts w:hint="eastAsia"/>
                <w:b/>
                <w:color w:val="000000"/>
              </w:rPr>
              <w:t>制度完善。</w:t>
            </w:r>
            <w:r>
              <w:rPr>
                <w:rFonts w:hint="eastAsia"/>
                <w:color w:val="000000"/>
              </w:rPr>
              <w:t>在新课程理念的指导下，学校制定了《洛阳高级中学“生本课堂”实验实施方案》、《洛阳高级中学教师教学“六认真”实施细则》、《洛阳高级中学集体备课制度》等规章制度，细化教学常规，完善常规管理内容，稳步推进课程改革。。学校制订了《洛阳高级中学生本课堂教学评价表》，合理调控，提高教学质量，对于课堂教与学两个层面进行及时反馈，及时实施补偿教学，从而提高了课堂效率。学校制订了《洛阳高级中学先进教研组备课组考核办法》《洛阳高级中学教师教学常规考核奖》等制度，公平使用考核奖励机制，形成良性竞争氛围，</w:t>
            </w:r>
            <w:r>
              <w:rPr>
                <w:color w:val="000000"/>
              </w:rPr>
              <w:t xml:space="preserve"> </w:t>
            </w:r>
          </w:p>
          <w:p>
            <w:pPr>
              <w:spacing w:line="360" w:lineRule="exact"/>
              <w:jc w:val="left"/>
              <w:outlineLvl w:val="2"/>
              <w:rPr>
                <w:color w:val="000000"/>
              </w:rPr>
            </w:pPr>
            <w:r>
              <w:rPr>
                <w:rFonts w:hint="eastAsia"/>
                <w:color w:val="000000"/>
              </w:rPr>
              <w:t xml:space="preserve">    </w:t>
            </w:r>
            <w:r>
              <w:rPr>
                <w:rFonts w:hint="eastAsia"/>
                <w:b/>
                <w:color w:val="000000"/>
              </w:rPr>
              <w:t>精细管理，执行到位。</w:t>
            </w:r>
            <w:r>
              <w:rPr>
                <w:rFonts w:hint="eastAsia"/>
                <w:color w:val="000000"/>
              </w:rPr>
              <w:t>精细教学反馈管理，通过每月教学常规检查，检查教师备课、听课、作业批改，及时汇总检查情况，及时公布，确保每位教师教学常规能执行到位。不定期通过学生问卷或座谈会等形式，对教师作业布置、批改和辅导等情况进行调研，以便发现存在问题。年级领导小组成员及时就发现问题与个别教师做好交流。精细课堂教学监管，通过每天行政值班巡课制和年级领导小组成员推门听课制，使每节课均有值班人员巡查课堂，巡查时可以推门进班级听课几分钟，发现问题第一时间与班主任、任课教师进行交流，以便及时整改，进课堂完整听课的值班人员在课后均能就发现问题与任课教师进行沟通交流。在推进“生本课堂”的过程中，各年级通过每日教学情况记载表，及时反馈课堂教学情况。通过对“生本课堂”教学的打造，有效地提高学生学习效率，促进教学质量的提升。精细学生自主管理，通过学生会这一平台，全方位养成学生自我管理习惯，督促学生自觉学习习惯的养成，使学习变成学生内在的需求。</w:t>
            </w:r>
          </w:p>
          <w:p>
            <w:pPr>
              <w:spacing w:line="360" w:lineRule="exact"/>
              <w:jc w:val="left"/>
              <w:outlineLvl w:val="2"/>
              <w:rPr>
                <w:color w:val="000000"/>
              </w:rPr>
            </w:pPr>
            <w:r>
              <w:rPr>
                <w:rFonts w:hint="eastAsia"/>
                <w:color w:val="000000"/>
              </w:rPr>
              <w:t xml:space="preserve">    为了切实减轻学生负担，提高教学质量，学校进一步规范教师教学工作“六认真”，要求每位教师自觉抓好整个教学工作的六个基本环节，做到认真备课、认真上课、认真布置批改作业、认真开展辅导活动、认真组织考试、认真听课。学校坚持集体备课制度，倡导网络备课。利用每周一次的教研活动时间开展备课组或教研组活动，组织教师开设微型讲座，在独立备课的基础上，就教学设计、教学资源的应用、信息技术与课程的融合、作业的选择与评价等多个维度展开合作交流。利用“武进智慧教育云平台”、学科QQ教研群、校园网等网络平台，提高教师学科交流的宽度、效率和质量，尝试集体备课网络化，拓展集体备课的内涵，创新集体备课的形式。</w:t>
            </w:r>
          </w:p>
          <w:p>
            <w:pPr>
              <w:pStyle w:val="6"/>
              <w:spacing w:line="360" w:lineRule="exact"/>
              <w:ind w:firstLine="422" w:firstLineChars="200"/>
              <w:jc w:val="left"/>
              <w:rPr>
                <w:rFonts w:ascii="Times New Roman" w:hAnsi="Times New Roman" w:eastAsia="宋体"/>
                <w:color w:val="000000"/>
                <w:szCs w:val="20"/>
              </w:rPr>
            </w:pPr>
            <w:r>
              <w:rPr>
                <w:rFonts w:hint="eastAsia" w:ascii="Times New Roman" w:hAnsi="Times New Roman" w:eastAsia="宋体"/>
                <w:b/>
                <w:color w:val="000000"/>
                <w:szCs w:val="20"/>
              </w:rPr>
              <w:t>课堂教学高效，</w:t>
            </w:r>
            <w:r>
              <w:rPr>
                <w:rFonts w:hint="eastAsia" w:ascii="Times New Roman" w:hAnsi="Times New Roman" w:eastAsia="宋体"/>
                <w:color w:val="000000"/>
                <w:szCs w:val="20"/>
              </w:rPr>
              <w:t>要求每位上课教师必须语言精练符合规范，同时课堂要体现“以学生为本”课改精神，讲课时间严格控制，精心编制学案，充分体现学生的自主合作探究性学习。做到没有学生的自学不新授；没有学生的独立思考不交流；没有发现学生的问题不点拨；没有学生的反思教师不点评。充分发挥学生学习主体作用：书本让学生读；见解让学生讲；三点（重点、难点、疑点）让学生议；规律让学生找；总结让学生写。</w:t>
            </w:r>
          </w:p>
          <w:p>
            <w:pPr>
              <w:pStyle w:val="6"/>
              <w:spacing w:line="360" w:lineRule="exact"/>
              <w:ind w:firstLine="422" w:firstLineChars="200"/>
              <w:rPr>
                <w:rFonts w:ascii="Times New Roman" w:hAnsi="Times New Roman" w:eastAsia="宋体"/>
                <w:color w:val="000000"/>
                <w:szCs w:val="20"/>
              </w:rPr>
            </w:pPr>
            <w:r>
              <w:rPr>
                <w:rFonts w:hint="eastAsia" w:ascii="Times New Roman" w:hAnsi="Times New Roman" w:eastAsia="宋体"/>
                <w:b/>
                <w:color w:val="000000"/>
                <w:szCs w:val="20"/>
              </w:rPr>
              <w:t>现代化教学手段运用恰当</w:t>
            </w:r>
            <w:r>
              <w:rPr>
                <w:rFonts w:hint="eastAsia" w:ascii="Times New Roman" w:hAnsi="Times New Roman" w:eastAsia="宋体"/>
                <w:color w:val="000000"/>
                <w:szCs w:val="20"/>
              </w:rPr>
              <w:t>。现代化教学手段使用成为课堂常态。为了提高课堂效率，每个教室配备了多媒体交互一体机，“班班通”覆盖率达100%。经过培训，全体教师均能熟练运用现代化教育媒体，并与课程恰当融合。为了更好的反思课堂教学，校级公开课安排在录播教室，课堂对全校展示，可以随时点播回看。</w:t>
            </w:r>
          </w:p>
          <w:p>
            <w:pPr>
              <w:pStyle w:val="6"/>
              <w:spacing w:line="360" w:lineRule="exact"/>
              <w:ind w:firstLine="422" w:firstLineChars="200"/>
              <w:rPr>
                <w:rFonts w:ascii="Times New Roman" w:hAnsi="Times New Roman" w:eastAsia="宋体"/>
                <w:color w:val="000000"/>
                <w:szCs w:val="20"/>
              </w:rPr>
            </w:pPr>
            <w:r>
              <w:rPr>
                <w:rFonts w:hint="eastAsia" w:ascii="Times New Roman" w:hAnsi="Times New Roman" w:eastAsia="宋体"/>
                <w:b/>
                <w:color w:val="000000"/>
                <w:szCs w:val="20"/>
              </w:rPr>
              <w:t>改进课堂练习，重视教学反思。</w:t>
            </w:r>
            <w:r>
              <w:rPr>
                <w:rFonts w:hint="eastAsia" w:ascii="Times New Roman" w:hAnsi="Times New Roman" w:eastAsia="宋体"/>
                <w:color w:val="000000"/>
                <w:szCs w:val="20"/>
              </w:rPr>
              <w:t>根据学生的具体学情，不断改进课堂练习的形式与内容，及时调整教学节奏。教师根据课程标准，认真研究并科学解读教材中的例题和练习，以书本例题、练习为主，精心选择和设计课堂练习，引导学生进行变式训练，掌握通识和同法及规律。在精讲普遍性问题的基础上，对个别性问题进行个别辅导。学校在鼓励教师进行教学改革与探索的同时，十分重视教师的课堂总结与教学反思，要求全体教师在探索与研究的同时认真总结经验，撰写教育教学心得，并作为常规检查的一项内容。每节公开课，上课教师必须撰写教学反思，上传校园网，以便相互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rPr>
                <w:rFonts w:ascii="宋体"/>
                <w:b/>
                <w:sz w:val="24"/>
              </w:rPr>
            </w:pPr>
          </w:p>
        </w:tc>
      </w:tr>
    </w:tbl>
    <w:p>
      <w:pPr>
        <w:rPr>
          <w:rFonts w:ascii="宋体"/>
        </w:rPr>
      </w:pPr>
      <w:r>
        <w:rPr>
          <w:rFonts w:hint="eastAsia" w:ascii="宋体"/>
        </w:rPr>
        <w:t>注：必查材料为近三学年度学校教学工作计划及总结、教学常规管理制度及检查记录。</w:t>
      </w:r>
    </w:p>
    <w:p>
      <w:pPr>
        <w:rPr>
          <w:rFonts w:ascii="宋体"/>
        </w:rPr>
      </w:pPr>
    </w:p>
    <w:p>
      <w:pPr>
        <w:rPr>
          <w:rFonts w:ascii="宋体"/>
        </w:rPr>
      </w:pPr>
    </w:p>
    <w:p>
      <w:pPr>
        <w:rPr>
          <w:rFonts w:ascii="宋体"/>
          <w:b/>
          <w:szCs w:val="21"/>
        </w:rPr>
      </w:pPr>
    </w:p>
    <w:p>
      <w:pPr>
        <w:rPr>
          <w:rFonts w:ascii="宋体"/>
          <w:b/>
          <w:szCs w:val="21"/>
        </w:rPr>
      </w:pP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spacing w:line="260" w:lineRule="exact"/>
              <w:ind w:right="-109" w:rightChars="-52"/>
              <w:rPr>
                <w:rFonts w:ascii="仿宋_GB2312" w:eastAsia="仿宋_GB2312"/>
                <w:color w:val="000000"/>
                <w:sz w:val="24"/>
                <w:szCs w:val="24"/>
              </w:rPr>
            </w:pPr>
            <w:r>
              <w:rPr>
                <w:rFonts w:hint="eastAsia" w:ascii="仿宋_GB2312" w:hAnsi="宋体" w:eastAsia="仿宋_GB2312" w:cs="宋体"/>
                <w:color w:val="000000"/>
                <w:sz w:val="24"/>
                <w:szCs w:val="24"/>
              </w:rPr>
              <w:t>B19．</w:t>
            </w:r>
          </w:p>
          <w:p>
            <w:pPr>
              <w:spacing w:line="260" w:lineRule="exact"/>
              <w:ind w:right="-109" w:rightChars="-52"/>
              <w:rPr>
                <w:rFonts w:ascii="仿宋_GB2312" w:eastAsia="仿宋_GB2312"/>
                <w:color w:val="000000"/>
                <w:sz w:val="24"/>
                <w:szCs w:val="24"/>
              </w:rPr>
            </w:pPr>
            <w:r>
              <w:rPr>
                <w:rFonts w:hint="eastAsia" w:ascii="仿宋_GB2312" w:hAnsi="宋体" w:eastAsia="仿宋_GB2312" w:cs="宋体"/>
                <w:color w:val="000000"/>
                <w:sz w:val="24"/>
                <w:szCs w:val="24"/>
              </w:rPr>
              <w:t>教学改革</w:t>
            </w:r>
          </w:p>
          <w:p>
            <w:pPr>
              <w:widowControl/>
              <w:spacing w:line="340" w:lineRule="exact"/>
              <w:ind w:right="-107" w:rightChars="-51"/>
              <w:jc w:val="center"/>
              <w:rPr>
                <w:rFonts w:ascii="仿宋_GB2312" w:eastAsia="仿宋_GB2312"/>
                <w:color w:val="000000"/>
                <w:sz w:val="24"/>
                <w:szCs w:val="24"/>
              </w:rPr>
            </w:pPr>
            <w:r>
              <w:rPr>
                <w:rFonts w:hint="eastAsia" w:ascii="仿宋_GB2312" w:hAnsi="宋体" w:eastAsia="仿宋_GB2312" w:cs="宋体"/>
                <w:color w:val="000000"/>
                <w:sz w:val="24"/>
                <w:szCs w:val="24"/>
              </w:rPr>
              <w:t>（18分）</w:t>
            </w:r>
          </w:p>
        </w:tc>
        <w:tc>
          <w:tcPr>
            <w:tcW w:w="6720" w:type="dxa"/>
            <w:vAlign w:val="center"/>
          </w:tcPr>
          <w:p>
            <w:pPr>
              <w:spacing w:line="295" w:lineRule="exact"/>
              <w:ind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C43．注重学思结合，突出学生主体地位，激发学生的兴趣，积极开展启发式、探究式、讨论式、参与式等多种形式的教学，有效保护学生的好奇心和求知欲</w:t>
            </w:r>
            <w:r>
              <w:rPr>
                <w:rFonts w:hint="eastAsia" w:ascii="仿宋_GB2312" w:hAnsi="宋体" w:eastAsia="仿宋_GB2312" w:cs="宋体"/>
                <w:b/>
                <w:bCs/>
                <w:color w:val="000000"/>
                <w:sz w:val="24"/>
                <w:szCs w:val="24"/>
              </w:rPr>
              <w:t>。</w:t>
            </w:r>
            <w:r>
              <w:rPr>
                <w:rFonts w:hint="eastAsia" w:ascii="仿宋_GB2312" w:hAnsi="宋体" w:eastAsia="仿宋_GB2312" w:cs="宋体"/>
                <w:color w:val="000000"/>
                <w:sz w:val="24"/>
                <w:szCs w:val="24"/>
              </w:rPr>
              <w:t>以前瞻性项目研究引领高品质高中建设，重视发展学生的学科核心素养，研究性学习意识能够渗透到学生的各科学习中。实行走班制上课；绝大多数教师具有高中循环教学的经历，有一定数量教师在省教育教学比赛中获奖，大部分科目教师能对外开设示范课或观摩课。（7分）</w:t>
            </w:r>
          </w:p>
          <w:p>
            <w:pPr>
              <w:spacing w:line="295" w:lineRule="exact"/>
              <w:ind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C44．实施适合的学习评价策略，关注学生不同水平和个性差异，做到评价以过程性、激励性为主。积极推进数字化学习实验，80%以上的学生拥有网络学习空间，省级教育资源公共服务平台覆盖率达100%。树立“互联网+”意识，主动适应信息化时代，在信息化平台上进行教育教学改革，利用信息技术改进评价方法，进行科学的教学评价。（5分）</w:t>
            </w:r>
          </w:p>
          <w:p>
            <w:pPr>
              <w:spacing w:line="295" w:lineRule="exact"/>
              <w:ind w:firstLine="480" w:firstLineChars="200"/>
              <w:rPr>
                <w:rFonts w:ascii="仿宋_GB2312" w:eastAsia="仿宋_GB2312"/>
                <w:color w:val="000000"/>
                <w:sz w:val="24"/>
                <w:szCs w:val="24"/>
              </w:rPr>
            </w:pPr>
            <w:r>
              <w:rPr>
                <w:rFonts w:hint="eastAsia" w:ascii="仿宋_GB2312" w:hAnsi="宋体" w:eastAsia="仿宋_GB2312" w:cs="宋体"/>
                <w:color w:val="000000"/>
                <w:sz w:val="24"/>
                <w:szCs w:val="24"/>
              </w:rPr>
              <w:t>C45．深化课堂教学改革，坚持分层推进，注重项目引领，强化评价机制；厘定合理的教学目标，创设和谐的教学环境，选择适切的教学内容，提升教学设计的品质与内涵，形成优化的教学过程，采用恰当的教学评价；遵循规律，尊重差异，因材施教，分类指导，有针对性地帮助学困生，发展优势潜能，满足不同潜质学生的发展需要，积极培养学生的创新意识和动手能力，措施扎实。（6分）</w:t>
            </w:r>
          </w:p>
        </w:tc>
        <w:tc>
          <w:tcPr>
            <w:tcW w:w="1260" w:type="dxa"/>
            <w:vAlign w:val="center"/>
          </w:tcPr>
          <w:p>
            <w:pPr>
              <w:jc w:val="center"/>
              <w:rPr>
                <w:rFonts w:ascii="宋体"/>
              </w:rPr>
            </w:pPr>
            <w:r>
              <w:rPr>
                <w:rFonts w:hint="eastAsia" w:ascii="宋体"/>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spacing w:line="360" w:lineRule="exact"/>
              <w:ind w:left="1" w:firstLine="482" w:firstLineChars="200"/>
              <w:rPr>
                <w:rFonts w:ascii="宋体" w:hAnsi="宋体" w:cs="宋体"/>
                <w:szCs w:val="21"/>
              </w:rPr>
            </w:pPr>
            <w:r>
              <w:rPr>
                <w:rFonts w:hint="eastAsia" w:ascii="宋体" w:hAnsi="宋体" w:cs="宋体"/>
                <w:b/>
                <w:bCs/>
                <w:sz w:val="24"/>
                <w:szCs w:val="21"/>
              </w:rPr>
              <w:t>C43:</w:t>
            </w:r>
            <w:r>
              <w:rPr>
                <w:rFonts w:hint="eastAsia" w:ascii="宋体" w:hAnsi="宋体" w:cs="宋体"/>
                <w:b/>
                <w:bCs/>
                <w:szCs w:val="21"/>
              </w:rPr>
              <w:t>践行教改，统筹规划，目标明确，重点突出。</w:t>
            </w:r>
            <w:r>
              <w:rPr>
                <w:rFonts w:hint="eastAsia" w:ascii="宋体" w:hAnsi="宋体" w:cs="宋体"/>
                <w:szCs w:val="21"/>
              </w:rPr>
              <w:t>学校大力推进教与学的改革，以发展学生核心素养为目标，以“生本课堂”教学探索为重点，努力创设民主、平等、和谐、互动的教学环境，积极倡导、引领学生学习策略的优化。</w:t>
            </w:r>
          </w:p>
          <w:p>
            <w:pPr>
              <w:spacing w:line="360" w:lineRule="exact"/>
              <w:ind w:left="1" w:firstLine="420" w:firstLineChars="200"/>
              <w:rPr>
                <w:rFonts w:ascii="宋体" w:hAnsi="宋体" w:cs="宋体"/>
                <w:szCs w:val="21"/>
              </w:rPr>
            </w:pPr>
            <w:r>
              <w:rPr>
                <w:rFonts w:hint="eastAsia" w:ascii="宋体" w:hAnsi="宋体" w:cs="宋体"/>
                <w:szCs w:val="21"/>
              </w:rPr>
              <w:t>学校积极打造生本课堂教学改革项目，引领高品质学校建设。学校成立了以校长为组长的教学改革领导小组，提出了“聚焦学生核心素养，深化课堂教学改革”的总目标和“构建具有学校特色的生本课堂教学模式，构建具有人性化、情感化、民主化的生本课堂，全方位提升学校教学品位，打造学校课堂教学品牌”的具体目标。</w:t>
            </w:r>
          </w:p>
          <w:p>
            <w:pPr>
              <w:spacing w:line="360" w:lineRule="exact"/>
              <w:ind w:left="1" w:firstLine="420" w:firstLineChars="200"/>
              <w:rPr>
                <w:rFonts w:ascii="宋体" w:hAnsi="宋体" w:cs="宋体"/>
                <w:szCs w:val="21"/>
              </w:rPr>
            </w:pPr>
            <w:r>
              <w:rPr>
                <w:rFonts w:hint="eastAsia" w:ascii="宋体" w:hAnsi="宋体" w:cs="宋体"/>
                <w:szCs w:val="21"/>
              </w:rPr>
              <w:t>学校先后制订了《洛阳高级中学“生本课堂”实验实施方案》《洛阳高级中学生本课堂教学评价表》，按照“典型示范，全员参与，稳步推进，深入开展”的思想，学校组建了以优秀骨干教师为核心成员的教改先行团，深入开展行动研究，每周轮流向全体教师开示范课、研究课，每两周进行一次集中研讨，学校每学年对外举行公开课。</w:t>
            </w:r>
          </w:p>
          <w:p>
            <w:pPr>
              <w:spacing w:line="360" w:lineRule="exact"/>
              <w:ind w:left="1" w:firstLine="420" w:firstLineChars="200"/>
              <w:rPr>
                <w:rFonts w:ascii="宋体" w:hAnsi="宋体" w:cs="宋体"/>
                <w:szCs w:val="21"/>
              </w:rPr>
            </w:pPr>
            <w:r>
              <w:rPr>
                <w:rFonts w:hint="eastAsia" w:ascii="宋体" w:hAnsi="宋体" w:cs="宋体"/>
                <w:szCs w:val="21"/>
              </w:rPr>
              <w:t>生本课堂就是“一切为了学生，高度尊重学生，全面依靠学生”的课堂，生本课堂教学模式的宗旨是一切为了学生。因此，在实施中特别强调学生主体作用。课堂要体现“以学生为本”课改精神，讲课时间严格控制，精心编制学案，充分体现学生的自主合作探究性学习。做到没有学生的自学不新授；没有学生的独立思考不交流；没有发现学生的问题不点拨；没有学生的反思教师不点评。充分发挥学生学习主体作用：书本让学生读；见解让学生讲；三点（重点、难点、疑点）让学生议；规律让学生找；总结让学生写。经过近9年的探索实践，学校的教学改革取得了显著成效。一是教学模式已渐形成。二是教师观念有了明显的转变，课堂教学面貌发生了很大的变化，教师注重在课堂中渗透研究性学习，改变了过去一讲到底的状况，课堂教学能力有明显提高，95%以上的教师都具有高中循环教学的经历。近年来，学校近40位教师在省、市、区组织的课堂教学评比中获奖。三是学生学业负担明显减轻，学习效率明显提高。</w:t>
            </w:r>
          </w:p>
          <w:p>
            <w:pPr>
              <w:spacing w:line="360" w:lineRule="exact"/>
              <w:ind w:left="1" w:firstLine="420" w:firstLineChars="200"/>
              <w:rPr>
                <w:rFonts w:ascii="宋体" w:hAnsi="宋体" w:cs="宋体"/>
                <w:szCs w:val="21"/>
              </w:rPr>
            </w:pPr>
            <w:r>
              <w:rPr>
                <w:rFonts w:hint="eastAsia" w:ascii="宋体" w:hAnsi="宋体" w:cs="宋体"/>
                <w:szCs w:val="21"/>
              </w:rPr>
              <w:t>学校以促进学生全面发展、个性发展为目标，充分利用校内外教育资源，围绕学校艺术教育特色、生命教育特色以及学科特点等，开发了“生命教育”“艺术教育”和“科技教育”等三大类校本教材。根据学生兴趣爱好，在高一、高二年级分别开设了15门选修校本课程，学生自由选择，重新组班，实行走班上课。</w:t>
            </w:r>
          </w:p>
          <w:p>
            <w:pPr>
              <w:spacing w:line="360" w:lineRule="exact"/>
              <w:ind w:left="1" w:firstLine="482" w:firstLineChars="200"/>
              <w:rPr>
                <w:rFonts w:ascii="宋体" w:hAnsi="宋体" w:cs="宋体"/>
                <w:szCs w:val="21"/>
              </w:rPr>
            </w:pPr>
            <w:r>
              <w:rPr>
                <w:rFonts w:hint="eastAsia" w:ascii="宋体" w:hAnsi="宋体" w:cs="宋体"/>
                <w:b/>
                <w:bCs/>
                <w:sz w:val="24"/>
                <w:szCs w:val="21"/>
              </w:rPr>
              <w:t>C44:</w:t>
            </w:r>
            <w:r>
              <w:rPr>
                <w:rFonts w:hint="eastAsia" w:ascii="宋体" w:hAnsi="宋体" w:cs="宋体"/>
                <w:b/>
                <w:bCs/>
                <w:szCs w:val="21"/>
              </w:rPr>
              <w:t>实施适合的学习评价策略，</w:t>
            </w:r>
            <w:r>
              <w:rPr>
                <w:rFonts w:hint="eastAsia" w:ascii="宋体" w:hAnsi="宋体" w:cs="宋体"/>
                <w:bCs/>
                <w:szCs w:val="21"/>
              </w:rPr>
              <w:t>关注学生不同水平和个性差异，做到评价以过程性、激励性为主。学生评价做到因人而异，不仅关注学生学习的结果，更关注他们学习的过程；建立过程性评价体系，在学分认定方面加强过程性评价考核。既关注学生的学习水平，更在过程实施中帮助他们认识自我，建立自信，促进每一个学生的全面发展。</w:t>
            </w:r>
            <w:r>
              <w:rPr>
                <w:rFonts w:hint="eastAsia" w:ascii="宋体" w:hAnsi="宋体" w:cs="宋体"/>
                <w:szCs w:val="21"/>
              </w:rPr>
              <w:t>教师课堂教学注重因材施教，对学生进行分类指导。有针对性的帮助学困生，发展学生优势潜能，满足不同潜质学生的发展需要，积极培养学生的创新意识和动手能力。学校拥有数字化实验室，满足了学生进行数字化学习实验的需求。在备课、上课、作业布置批改等方面明确要求关注学生差异。为了更好推进新课程课堂教学改革，学校新修订了《课堂教学评价表》《洛阳高级中学综合实践活动实施方案》《洛阳高级中学校本课程开发实施方案》《洛阳高级中学学生综合素质评价方案》等。学校在教育教学常规中明确规定备课、作业等环节必须关注学生的差异，学校通过常规检查及行政听课和推门听课加以监督和落实。</w:t>
            </w:r>
          </w:p>
          <w:p>
            <w:pPr>
              <w:spacing w:line="360" w:lineRule="exact"/>
              <w:ind w:left="1" w:firstLine="422" w:firstLineChars="200"/>
              <w:rPr>
                <w:rFonts w:ascii="宋体" w:hAnsi="宋体" w:cs="宋体"/>
                <w:szCs w:val="21"/>
              </w:rPr>
            </w:pPr>
            <w:r>
              <w:rPr>
                <w:rFonts w:hint="eastAsia" w:ascii="宋体" w:hAnsi="宋体" w:cs="宋体"/>
                <w:b/>
                <w:szCs w:val="21"/>
              </w:rPr>
              <w:t>学校还积极探索网络环境下的教学改革，</w:t>
            </w:r>
            <w:r>
              <w:rPr>
                <w:rFonts w:hint="eastAsia" w:ascii="宋体" w:hAnsi="宋体" w:cs="宋体"/>
                <w:szCs w:val="21"/>
              </w:rPr>
              <w:t>推进信息技术与学科整合，省级教育资源公共服务平台学校覆盖率达100%。各班充分利用现代网络技术，建立了班级QQ群、微信群，交流作业情况和学习心得，80%以上的学生拥有网络学习空间，激发了学生主动学习的热情，提高了自主学习的能力，拓展了教育教学资源。学校主动适应信息化时代，为教师的研究学习搭建平台，邀请专家来校介绍微课、微视频制作技术、翻转课堂、慕课的具体操作等，进一步增强了教师的“互联网+”意识。学校近几年引进网上阅卷系统，大大减轻了教师负担，提高了数据处理与统计分析的效率。充分利用信息技术进行校内选课和学分管理，指导学生在达到共同基础的前提下自主选择修习课程，促进学生主动地、富有个性地学习。</w:t>
            </w:r>
          </w:p>
          <w:p>
            <w:pPr>
              <w:spacing w:line="360" w:lineRule="exact"/>
              <w:ind w:left="1" w:firstLine="482" w:firstLineChars="200"/>
              <w:rPr>
                <w:rFonts w:ascii="宋体" w:hAnsi="宋体" w:cs="宋体"/>
                <w:szCs w:val="21"/>
              </w:rPr>
            </w:pPr>
            <w:r>
              <w:rPr>
                <w:rFonts w:hint="eastAsia" w:ascii="宋体" w:hAnsi="宋体" w:cs="宋体"/>
                <w:b/>
                <w:bCs/>
                <w:sz w:val="24"/>
                <w:szCs w:val="21"/>
              </w:rPr>
              <w:t>C45:</w:t>
            </w:r>
            <w:r>
              <w:rPr>
                <w:rFonts w:hint="eastAsia" w:ascii="宋体" w:hAnsi="宋体" w:cs="宋体"/>
                <w:b/>
                <w:bCs/>
                <w:szCs w:val="21"/>
              </w:rPr>
              <w:t>关注策略，优化评价，发展潜能，成效显著。</w:t>
            </w:r>
            <w:r>
              <w:rPr>
                <w:rFonts w:hint="eastAsia" w:ascii="宋体" w:hAnsi="宋体" w:cs="宋体"/>
                <w:szCs w:val="21"/>
              </w:rPr>
              <w:t>在教育教学过程中，对学生进行分类指导。学校加大课堂教学改革力度，积极探索“一切为了学生，高度尊重学生，全面依靠学生”的课堂教学模式。倡导课堂教学常规要实现“三个转变”，即变注入式为启发式、变单纯知识传授为智能并重、变被动听课为主动参与。为了更好推进新课程课堂教学改革，学校新修订了《课堂教学评价表》《洛阳高级中学综合实践活动实施方案》《洛阳高级中学校本课程开发实施方案》《洛阳高级中学学生综合素质评价方案》等。注重对教师在教学过程中学法指导、学法教育的要求，改革课堂评价标准，提出一堂好课不以教师教给学生多少知识为标准，而是以学生是否乐学、会学为标准；强调情景与问题的设计，注重情感、态度、价值观的教育，把教师在课堂教学过程中对整体的关注、对学困生的关爱列为教师素养的评价范畴。通过作业分层、作业面批、二次批改、常规整理、课外兴趣小组、研究性学习等方式因材施教，对学生进行分类指导。有针对性地帮助学困生，积极开展补偿教学活动，发展学生的优势潜能，满足不同潜质学生的发展需要。学校特别重视对学生科技创新能力的培养。近几年，学校先后建成“通用技术专用教室”、“史地专用教室”、“数字化实验室”等。近三年，学校学生在江苏省金钥匙竞赛、科技创新活动竞赛、语文英语作文竞赛中均取得了较好的成绩。</w:t>
            </w:r>
          </w:p>
          <w:p>
            <w:pPr>
              <w:spacing w:line="360" w:lineRule="exact"/>
              <w:ind w:left="1" w:firstLine="420" w:firstLineChars="200"/>
              <w:rPr>
                <w:rFonts w:ascii="宋体"/>
                <w:b/>
                <w:sz w:val="24"/>
              </w:rPr>
            </w:pPr>
            <w:r>
              <w:rPr>
                <w:rFonts w:hint="eastAsia" w:ascii="宋体" w:hAnsi="宋体" w:cs="宋体"/>
                <w:szCs w:val="21"/>
              </w:rPr>
              <w:t>学校在教育公平和“让学生收获成功”先进办学理念的指导下，充分挖掘艺术教育的潜力，为具备艺术兴趣和特长学生的艺术素养的提高提供专业支持，进而让学校每一个学生都接受艺术的熏陶，不断提高全体学生的艺术素养。多年来，学校每年都为“985”、“211工程”重点高校以及知名艺术院校输送大批人才。至2017年，学校有400多位同学考入同济大学、东南大学、中国美院、中央美院、上海戏剧学院、西安美院等全国知名重点院校。学校连续十一年获武进区全面实施素质教育工作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rPr>
                <w:rFonts w:ascii="宋体"/>
                <w:b/>
                <w:sz w:val="24"/>
              </w:rPr>
            </w:pPr>
          </w:p>
        </w:tc>
      </w:tr>
    </w:tbl>
    <w:p>
      <w:pPr>
        <w:rPr>
          <w:rFonts w:ascii="宋体"/>
        </w:rPr>
      </w:pPr>
      <w:r>
        <w:rPr>
          <w:rFonts w:hint="eastAsia" w:ascii="宋体"/>
        </w:rPr>
        <w:t>注：必查材料为</w:t>
      </w:r>
      <w:r>
        <w:rPr>
          <w:rFonts w:hint="eastAsia" w:ascii="宋体" w:hAnsi="宋体" w:cs="宋体"/>
          <w:color w:val="000000"/>
          <w:szCs w:val="21"/>
        </w:rPr>
        <w:t>走班制上课、</w:t>
      </w:r>
      <w:r>
        <w:rPr>
          <w:rFonts w:hint="eastAsia" w:ascii="宋体"/>
        </w:rPr>
        <w:t>有效教学实践探索活动材料、“一堂好课”评价标准。</w:t>
      </w:r>
    </w:p>
    <w:p>
      <w:pPr>
        <w:rPr>
          <w:rFonts w:ascii="宋体"/>
          <w:b/>
          <w:szCs w:val="21"/>
        </w:rPr>
      </w:pP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spacing w:line="260" w:lineRule="exact"/>
              <w:ind w:right="-107" w:rightChars="-51"/>
              <w:rPr>
                <w:rFonts w:ascii="仿宋_GB2312" w:eastAsia="仿宋_GB2312"/>
                <w:color w:val="000000"/>
                <w:sz w:val="24"/>
                <w:szCs w:val="24"/>
              </w:rPr>
            </w:pPr>
            <w:r>
              <w:rPr>
                <w:rFonts w:hint="eastAsia" w:ascii="仿宋_GB2312" w:hAnsi="宋体" w:eastAsia="仿宋_GB2312" w:cs="宋体"/>
                <w:color w:val="000000"/>
                <w:sz w:val="24"/>
                <w:szCs w:val="24"/>
              </w:rPr>
              <w:t>B20．</w:t>
            </w:r>
          </w:p>
          <w:p>
            <w:pPr>
              <w:spacing w:line="260" w:lineRule="exact"/>
              <w:ind w:right="-107" w:rightChars="-51"/>
              <w:rPr>
                <w:rFonts w:ascii="仿宋_GB2312" w:eastAsia="仿宋_GB2312"/>
                <w:color w:val="000000"/>
                <w:sz w:val="24"/>
                <w:szCs w:val="24"/>
              </w:rPr>
            </w:pPr>
            <w:r>
              <w:rPr>
                <w:rFonts w:hint="eastAsia" w:ascii="仿宋_GB2312" w:hAnsi="宋体" w:eastAsia="仿宋_GB2312" w:cs="宋体"/>
                <w:color w:val="000000"/>
                <w:sz w:val="24"/>
                <w:szCs w:val="24"/>
              </w:rPr>
              <w:t>学生素养</w:t>
            </w:r>
          </w:p>
          <w:p>
            <w:pPr>
              <w:spacing w:line="340" w:lineRule="exact"/>
              <w:ind w:right="-107" w:rightChars="-51"/>
              <w:jc w:val="center"/>
              <w:rPr>
                <w:rFonts w:ascii="仿宋_GB2312" w:eastAsia="仿宋_GB2312"/>
                <w:color w:val="000000"/>
                <w:sz w:val="24"/>
                <w:szCs w:val="24"/>
              </w:rPr>
            </w:pPr>
            <w:r>
              <w:rPr>
                <w:rFonts w:hint="eastAsia" w:ascii="仿宋_GB2312" w:hAnsi="宋体" w:eastAsia="仿宋_GB2312" w:cs="宋体"/>
                <w:color w:val="000000"/>
                <w:sz w:val="24"/>
                <w:szCs w:val="24"/>
              </w:rPr>
              <w:t>（15分）</w:t>
            </w:r>
          </w:p>
        </w:tc>
        <w:tc>
          <w:tcPr>
            <w:tcW w:w="6720" w:type="dxa"/>
            <w:vAlign w:val="center"/>
          </w:tcPr>
          <w:p>
            <w:pPr>
              <w:spacing w:line="340" w:lineRule="exact"/>
              <w:ind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C46．学生文明礼貌，有良好的生活、学习习惯，初步形成良好品质</w:t>
            </w:r>
            <w:r>
              <w:rPr>
                <w:rFonts w:hint="eastAsia" w:ascii="仿宋_GB2312" w:hAnsi="宋体" w:eastAsia="仿宋_GB2312" w:cs="宋体"/>
                <w:b/>
                <w:bCs/>
                <w:color w:val="000000"/>
                <w:sz w:val="24"/>
                <w:szCs w:val="24"/>
              </w:rPr>
              <w:t>。</w:t>
            </w:r>
            <w:r>
              <w:rPr>
                <w:rFonts w:hint="eastAsia" w:ascii="仿宋_GB2312" w:hAnsi="宋体" w:eastAsia="仿宋_GB2312" w:cs="宋体"/>
                <w:color w:val="000000"/>
                <w:sz w:val="24"/>
                <w:szCs w:val="24"/>
              </w:rPr>
              <w:t>学生审美情趣和人文素养逐步提升，有一定的学习、实践、创新能力和公民意识。突出学生核心素养的培养，综合素质评价优良率达到90％以上，无违法犯罪行为。（4分）</w:t>
            </w:r>
          </w:p>
          <w:p>
            <w:pPr>
              <w:spacing w:line="340" w:lineRule="exact"/>
              <w:ind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C47．各年级学生全科合格率、毕业年级学生毕业率和按时毕业率达到规定要求。学生学业成绩进步幅度大，学业水平测试一次性合格率达到95％以上</w:t>
            </w:r>
            <w:r>
              <w:rPr>
                <w:rFonts w:hint="eastAsia" w:ascii="仿宋_GB2312" w:hAnsi="宋体" w:eastAsia="仿宋_GB2312" w:cs="宋体"/>
                <w:b/>
                <w:bCs/>
                <w:color w:val="000000"/>
                <w:sz w:val="24"/>
                <w:szCs w:val="24"/>
              </w:rPr>
              <w:t>。</w:t>
            </w:r>
            <w:r>
              <w:rPr>
                <w:rFonts w:hint="eastAsia" w:ascii="仿宋_GB2312" w:hAnsi="宋体" w:eastAsia="仿宋_GB2312" w:cs="宋体"/>
                <w:color w:val="000000"/>
                <w:sz w:val="24"/>
                <w:szCs w:val="24"/>
              </w:rPr>
              <w:t>（6分）</w:t>
            </w:r>
          </w:p>
          <w:p>
            <w:pPr>
              <w:spacing w:line="340" w:lineRule="exact"/>
              <w:ind w:firstLine="480" w:firstLineChars="200"/>
              <w:rPr>
                <w:rFonts w:ascii="仿宋_GB2312" w:eastAsia="仿宋_GB2312"/>
                <w:b/>
                <w:color w:val="FF0000"/>
                <w:sz w:val="24"/>
                <w:szCs w:val="24"/>
                <w:shd w:val="pct10" w:color="auto" w:fill="FFFFFF"/>
              </w:rPr>
            </w:pPr>
            <w:r>
              <w:rPr>
                <w:rFonts w:hint="eastAsia" w:ascii="仿宋_GB2312" w:hAnsi="宋体" w:eastAsia="仿宋_GB2312" w:cs="宋体"/>
                <w:color w:val="000000"/>
                <w:sz w:val="24"/>
                <w:szCs w:val="24"/>
              </w:rPr>
              <w:t>C48．《国家学生体质健康标准》测试合格率达到90％以上，优秀率达到8％以上。（5分）</w:t>
            </w:r>
          </w:p>
        </w:tc>
        <w:tc>
          <w:tcPr>
            <w:tcW w:w="1260" w:type="dxa"/>
            <w:vAlign w:val="center"/>
          </w:tcPr>
          <w:p>
            <w:pPr>
              <w:jc w:val="center"/>
              <w:rPr>
                <w:rFonts w:ascii="宋体"/>
              </w:rPr>
            </w:pPr>
            <w:r>
              <w:rPr>
                <w:rFonts w:hint="eastAsia" w:ascii="宋体"/>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spacing w:line="360" w:lineRule="exact"/>
              <w:ind w:firstLine="482" w:firstLineChars="200"/>
              <w:jc w:val="left"/>
              <w:rPr>
                <w:rFonts w:ascii="宋体" w:hAnsi="宋体"/>
                <w:color w:val="000000"/>
                <w:szCs w:val="21"/>
              </w:rPr>
            </w:pPr>
            <w:r>
              <w:rPr>
                <w:rFonts w:hint="eastAsia" w:asciiTheme="minorEastAsia" w:hAnsiTheme="minorEastAsia" w:eastAsiaTheme="minorEastAsia"/>
                <w:b/>
                <w:bCs/>
                <w:color w:val="000000"/>
                <w:sz w:val="24"/>
                <w:szCs w:val="18"/>
              </w:rPr>
              <w:t>C46：</w:t>
            </w:r>
            <w:r>
              <w:rPr>
                <w:rFonts w:hint="eastAsia" w:ascii="宋体" w:hAnsi="宋体"/>
              </w:rPr>
              <w:t>学校德育工作扎实有效，成绩显著，学生懂文明有礼貌，养成了良好的生活和学习习惯，初步形成良好品质</w:t>
            </w:r>
            <w:r>
              <w:rPr>
                <w:rFonts w:ascii="宋体" w:hAnsi="宋体"/>
                <w:color w:val="000000"/>
                <w:szCs w:val="21"/>
              </w:rPr>
              <w:t>。</w:t>
            </w:r>
            <w:r>
              <w:rPr>
                <w:rFonts w:hint="eastAsia" w:ascii="宋体" w:hAnsi="宋体"/>
                <w:color w:val="000000"/>
                <w:szCs w:val="21"/>
              </w:rPr>
              <w:t>同时，学校注重学生能力的提升，培养学生核心素养，学生综合素质评价达到100%。</w:t>
            </w:r>
          </w:p>
          <w:p>
            <w:pPr>
              <w:spacing w:line="360" w:lineRule="exact"/>
              <w:ind w:firstLine="413" w:firstLineChars="196"/>
              <w:rPr>
                <w:rFonts w:ascii="宋体" w:hAnsi="宋体"/>
                <w:b/>
                <w:color w:val="FF0000"/>
              </w:rPr>
            </w:pPr>
            <w:r>
              <w:rPr>
                <w:rFonts w:hint="eastAsia" w:ascii="宋体" w:hAnsi="宋体" w:cs="宋体"/>
                <w:b/>
                <w:bCs/>
                <w:color w:val="000000"/>
                <w:kern w:val="0"/>
                <w:szCs w:val="21"/>
              </w:rPr>
              <w:t>学校重视学生良好品质的培养。</w:t>
            </w:r>
            <w:r>
              <w:rPr>
                <w:rFonts w:hint="eastAsia" w:ascii="宋体" w:hAnsi="宋体"/>
              </w:rPr>
              <w:t>学生的差异，很大程度上是习惯的差异。加强对教育教学过程的精细管理，对于提高教学质量有重要的作用。学校把常规教育作为教育工作的具体抓手，切实实施学生管理的各方面条例、规定，切实做到规范有序，努力落实到教育教学各个环节，向细节要效益。学校积极创新管理模式，实行条块结合、重心下移的“扁平式”工作机制，积极推进学生自主管理。学校注重学生文明礼仪教育，开设《礼仪与生活》德育校本必修课程，注重学生良好礼仪的引导和养成。学校积极开展学风建设月等活动，加强对早早读、早读诵读情况、课堂坐姿、晚自习课纪律等学生纪律和学习习惯的规范引领，通过全面要求和个别纠正指导的方式，切实保证每个学生学风的积极提高。学校制定了《班级常规管理考核细则》、《洛阳高级中学学生重要行为规范》、《学生纪律及违纪处分条例》、《学生宿舍管理规范》、《学生食堂就餐管理规范》等相关条例，全面加强常规管理。学生进校基础相对薄弱，学习习惯、行为习惯差异较大，因此从高一学生进校伊始，就对学生进行较为严格的入学教育及军训活动，通过多种形式加强遵守校规校纪、法律法规的教育，培养学生集体意识，提高学生文明素养；要求学生严格遵守学校的相关规定，对学生可能涉及的如玩游戏、携带手机、谈恋爱、打架、考试作弊等问题提前进行教育，一旦发现，及时严肃处理。学校实行年级部每天行政值日检查反馈、每月综合评比制度。同时，学校充分发挥学生的自治和管理作用，积极鼓励和引导学生参与学校管理，定期开展星级宿舍等评比活动，定期召开舍长会议、班团干部会议和家长会，及时了解学生思想、学习、生活等方面的情况，及时准确地做好各方面工作。</w:t>
            </w:r>
            <w:r>
              <w:rPr>
                <w:rFonts w:hint="eastAsia" w:ascii="宋体" w:hAnsi="宋体"/>
                <w:color w:val="000000"/>
                <w:szCs w:val="21"/>
              </w:rPr>
              <w:t>通过三年针对性的教育，</w:t>
            </w:r>
            <w:r>
              <w:rPr>
                <w:rFonts w:ascii="仿宋_GB2312" w:hAnsi="宋体" w:cs="宋体"/>
                <w:color w:val="000000"/>
              </w:rPr>
              <w:t>学生文明礼貌</w:t>
            </w:r>
            <w:r>
              <w:rPr>
                <w:rFonts w:hint="eastAsia" w:ascii="仿宋_GB2312" w:hAnsi="宋体" w:cs="宋体"/>
                <w:color w:val="000000"/>
              </w:rPr>
              <w:t>好</w:t>
            </w:r>
            <w:r>
              <w:rPr>
                <w:rFonts w:ascii="仿宋_GB2312" w:hAnsi="宋体" w:cs="宋体"/>
                <w:color w:val="000000"/>
              </w:rPr>
              <w:t>，</w:t>
            </w:r>
            <w:r>
              <w:rPr>
                <w:rFonts w:hint="eastAsia" w:ascii="仿宋_GB2312" w:hAnsi="宋体" w:cs="宋体"/>
                <w:color w:val="000000"/>
              </w:rPr>
              <w:t>同时</w:t>
            </w:r>
            <w:r>
              <w:rPr>
                <w:rFonts w:ascii="仿宋_GB2312" w:hAnsi="宋体" w:cs="宋体"/>
                <w:color w:val="000000"/>
              </w:rPr>
              <w:t>有良好的生活、学习习惯</w:t>
            </w:r>
            <w:r>
              <w:rPr>
                <w:rFonts w:ascii="仿宋_GB2312" w:hAnsi="宋体" w:cs="宋体"/>
                <w:b/>
                <w:bCs/>
                <w:color w:val="000000"/>
              </w:rPr>
              <w:t>。</w:t>
            </w:r>
            <w:r>
              <w:rPr>
                <w:rFonts w:hint="eastAsia" w:ascii="宋体" w:hAnsi="宋体"/>
                <w:szCs w:val="21"/>
              </w:rPr>
              <w:t>通过“学雷锋”志愿者服务，向新疆尼勒克县捐款、身边贫困学生爱心捐款，走出校园开展公民教育实践，走进企业、街道开展社区服务，让学生从中体会到回馈社会的价值和意义，体验承担责任的乐趣。学生在活动中能力得到了提高，思想品德得到了升华，有了良好的品质。</w:t>
            </w:r>
          </w:p>
          <w:p>
            <w:pPr>
              <w:spacing w:line="360" w:lineRule="exact"/>
              <w:ind w:firstLine="413" w:firstLineChars="196"/>
              <w:rPr>
                <w:rFonts w:ascii="宋体" w:hAnsi="宋体"/>
                <w:szCs w:val="21"/>
              </w:rPr>
            </w:pPr>
            <w:r>
              <w:rPr>
                <w:rFonts w:hint="eastAsia" w:ascii="宋体" w:hAnsi="宋体"/>
                <w:b/>
              </w:rPr>
              <w:t>实施素质教育，学生审美情趣和人文素养逐步提升。</w:t>
            </w:r>
            <w:r>
              <w:rPr>
                <w:rFonts w:hint="eastAsia" w:ascii="宋体" w:hAnsi="宋体"/>
              </w:rPr>
              <w:t>多年来，学校践行“让学生收获成功”的办学理念，始终坚持促进学生全面发展、和谐发展、个性发展、特长发展的办学价值追求，积极探索校本化实施素质教育。学校</w:t>
            </w:r>
            <w:r>
              <w:rPr>
                <w:rFonts w:hint="eastAsia" w:ascii="宋体" w:hAnsi="宋体"/>
                <w:szCs w:val="21"/>
              </w:rPr>
              <w:t>开齐、开足、开好各类课程，并大力拓宽社会实践和各类教育路径，以确保学生的文化素质、学习素养、道德修养、公民素质的全面发展。学校在教育教学中，</w:t>
            </w:r>
            <w:r>
              <w:rPr>
                <w:rFonts w:hint="eastAsia" w:ascii="宋体" w:hAnsi="宋体" w:cs="宋体"/>
              </w:rPr>
              <w:t>精心组织各种活动:如体育节、艺术节等，鼓励学生积极参加各级各类竞赛，积极开展研究性学习活动，</w:t>
            </w:r>
            <w:r>
              <w:rPr>
                <w:rFonts w:hint="eastAsia" w:ascii="宋体" w:hAnsi="宋体"/>
                <w:szCs w:val="21"/>
              </w:rPr>
              <w:t>提升学生审美情趣和人文素养并</w:t>
            </w:r>
            <w:r>
              <w:rPr>
                <w:rFonts w:ascii="仿宋_GB2312" w:hAnsi="宋体" w:cs="宋体"/>
                <w:color w:val="000000"/>
              </w:rPr>
              <w:t>有一定的学习、实践、创新能力</w:t>
            </w:r>
            <w:r>
              <w:rPr>
                <w:rFonts w:hint="eastAsia" w:ascii="宋体" w:hAnsi="宋体" w:cs="宋体"/>
              </w:rPr>
              <w:t>。开展公民教育实践活动，十八岁成人仪式等，使学生</w:t>
            </w:r>
            <w:r>
              <w:rPr>
                <w:rFonts w:hint="eastAsia" w:ascii="仿宋_GB2312" w:hAnsi="宋体" w:cs="宋体"/>
                <w:color w:val="000000"/>
              </w:rPr>
              <w:t>有一定的</w:t>
            </w:r>
            <w:r>
              <w:rPr>
                <w:rFonts w:ascii="仿宋_GB2312" w:hAnsi="宋体" w:cs="宋体"/>
                <w:color w:val="000000"/>
              </w:rPr>
              <w:t>公民意识。</w:t>
            </w:r>
          </w:p>
          <w:p>
            <w:pPr>
              <w:spacing w:line="360" w:lineRule="exact"/>
              <w:ind w:firstLine="422" w:firstLineChars="200"/>
              <w:rPr>
                <w:rFonts w:ascii="宋体" w:hAnsi="宋体"/>
                <w:color w:val="FF0000"/>
                <w:szCs w:val="21"/>
              </w:rPr>
            </w:pPr>
            <w:r>
              <w:rPr>
                <w:rFonts w:hint="eastAsia" w:ascii="宋体" w:hAnsi="宋体"/>
                <w:b/>
                <w:bCs/>
                <w:szCs w:val="21"/>
              </w:rPr>
              <w:t>学校突出学生的核心素养的培养。</w:t>
            </w:r>
            <w:r>
              <w:rPr>
                <w:rFonts w:hint="eastAsia" w:ascii="宋体" w:hAnsi="宋体"/>
                <w:szCs w:val="21"/>
              </w:rPr>
              <w:t>学校在教育教学中突出培养学生的核心素养</w:t>
            </w:r>
            <w:r>
              <w:rPr>
                <w:rFonts w:hint="eastAsia" w:ascii="宋体" w:hAnsi="宋体" w:cs="宋体"/>
              </w:rPr>
              <w:t>。</w:t>
            </w:r>
            <w:r>
              <w:rPr>
                <w:rFonts w:hint="eastAsia"/>
              </w:rPr>
              <w:t>学校</w:t>
            </w:r>
            <w:r>
              <w:rPr>
                <w:rFonts w:hint="eastAsia" w:ascii="宋体" w:hAnsi="宋体" w:cs="宋体"/>
              </w:rPr>
              <w:t>每年都</w:t>
            </w:r>
            <w:r>
              <w:rPr>
                <w:rFonts w:hint="eastAsia" w:ascii="宋体" w:hAnsi="宋体"/>
                <w:color w:val="000000"/>
              </w:rPr>
              <w:t>有科技社团在“金钥匙”以及“地球小博士”等科技竞赛中获奖。</w:t>
            </w:r>
            <w:r>
              <w:rPr>
                <w:rFonts w:hint="eastAsia" w:ascii="宋体" w:hAnsi="宋体"/>
                <w:szCs w:val="21"/>
              </w:rPr>
              <w:t>学校严格按照《江苏省普通高中学生综合素质评价方案》的有关精神，结合学校和学生实际，建立了学生综合素质评价制度，为每个学生建立了成长记录册。成长记录册内含有学生《学业评价表》《综合素质评价表》《社会实践活动鉴定表》等，既有平时每学期的，又有三年的总表，还有道德品质、公民素养、学习能力、交流与合作、运动与健康、审美与表现等六个方面的突出表现材料、获奖资料等，客观、科学、全面地反映了学生在学校三年的成长历程。多年来，学生综合素质的优良率达到90%以上。</w:t>
            </w:r>
          </w:p>
          <w:p>
            <w:pPr>
              <w:spacing w:line="360" w:lineRule="exact"/>
              <w:ind w:firstLine="413" w:firstLineChars="196"/>
              <w:rPr>
                <w:rFonts w:ascii="宋体" w:hAnsi="宋体"/>
                <w:szCs w:val="21"/>
              </w:rPr>
            </w:pPr>
            <w:r>
              <w:rPr>
                <w:rFonts w:hint="eastAsia" w:ascii="宋体" w:hAnsi="宋体"/>
                <w:b/>
                <w:bCs/>
                <w:szCs w:val="21"/>
              </w:rPr>
              <w:t>学校重视法制教育。</w:t>
            </w:r>
            <w:r>
              <w:rPr>
                <w:rFonts w:hint="eastAsia" w:ascii="宋体" w:hAnsi="宋体"/>
                <w:szCs w:val="21"/>
              </w:rPr>
              <w:t>学校聘请洛阳派出所教导员陈岳来为法制副校长，开展法制教育活动，学生的法制意识得到强化。学校通过国旗下讲话、校园广播、校园宣传栏、黑板报等开展法制宣传。积极开展“德法同行，法润武进”主题教育活动。三年来，学生中未发生违法犯罪案件。学校先后被评为“江苏省平安校园”“常州市中小学德育特色学校”“常州市级廉政文化示范点”“武进区法制宣传先进单位”。</w:t>
            </w:r>
          </w:p>
          <w:p>
            <w:pPr>
              <w:spacing w:line="360" w:lineRule="exact"/>
              <w:ind w:firstLine="477" w:firstLineChars="198"/>
              <w:rPr>
                <w:szCs w:val="21"/>
              </w:rPr>
            </w:pPr>
            <w:r>
              <w:rPr>
                <w:rFonts w:ascii="宋体" w:hAnsi="宋体"/>
                <w:b/>
                <w:sz w:val="24"/>
                <w:szCs w:val="21"/>
              </w:rPr>
              <w:t>C</w:t>
            </w:r>
            <w:r>
              <w:rPr>
                <w:rFonts w:hint="eastAsia" w:ascii="宋体" w:hAnsi="宋体"/>
                <w:b/>
                <w:sz w:val="24"/>
                <w:szCs w:val="21"/>
              </w:rPr>
              <w:t>47:</w:t>
            </w:r>
            <w:r>
              <w:rPr>
                <w:rFonts w:hint="eastAsia"/>
                <w:szCs w:val="21"/>
              </w:rPr>
              <w:t>创成四星以来，学校</w:t>
            </w:r>
            <w:r>
              <w:rPr>
                <w:szCs w:val="21"/>
              </w:rPr>
              <w:t>教学质量实现大攀升，</w:t>
            </w:r>
            <w:r>
              <w:rPr>
                <w:rFonts w:hint="eastAsia"/>
                <w:szCs w:val="21"/>
              </w:rPr>
              <w:t>学生学业成绩进步幅度大。至2017年，学校有400多位同学考入同济大学、东南大学、中国美院、中央美院、上海戏剧学院、西安美院等全国知名重点院校。各年级学生全科合格率、毕业年级学生毕业率、按时毕业率均达到规定要求。学业水平测试（必修）一次性合格率始终在高位运行，</w:t>
            </w:r>
            <w:r>
              <w:rPr>
                <w:szCs w:val="21"/>
              </w:rPr>
              <w:t xml:space="preserve"> 201</w:t>
            </w:r>
            <w:r>
              <w:rPr>
                <w:rFonts w:hint="eastAsia"/>
                <w:szCs w:val="21"/>
              </w:rPr>
              <w:t>6届达</w:t>
            </w:r>
            <w:r>
              <w:rPr>
                <w:szCs w:val="21"/>
              </w:rPr>
              <w:t>9</w:t>
            </w:r>
            <w:r>
              <w:rPr>
                <w:rFonts w:hint="eastAsia"/>
                <w:szCs w:val="21"/>
              </w:rPr>
              <w:t>8.2</w:t>
            </w:r>
            <w:r>
              <w:rPr>
                <w:szCs w:val="21"/>
              </w:rPr>
              <w:t>%</w:t>
            </w:r>
            <w:r>
              <w:rPr>
                <w:rFonts w:hint="eastAsia"/>
                <w:szCs w:val="21"/>
              </w:rPr>
              <w:t>，</w:t>
            </w:r>
            <w:r>
              <w:rPr>
                <w:szCs w:val="21"/>
              </w:rPr>
              <w:t>201</w:t>
            </w:r>
            <w:r>
              <w:rPr>
                <w:rFonts w:hint="eastAsia"/>
                <w:szCs w:val="21"/>
              </w:rPr>
              <w:t>7届达</w:t>
            </w:r>
            <w:r>
              <w:rPr>
                <w:szCs w:val="21"/>
              </w:rPr>
              <w:t xml:space="preserve"> </w:t>
            </w:r>
            <w:r>
              <w:rPr>
                <w:rFonts w:hint="eastAsia"/>
                <w:szCs w:val="21"/>
              </w:rPr>
              <w:t>99.5%，</w:t>
            </w:r>
            <w:r>
              <w:rPr>
                <w:szCs w:val="21"/>
              </w:rPr>
              <w:t>201</w:t>
            </w:r>
            <w:r>
              <w:rPr>
                <w:rFonts w:hint="eastAsia"/>
                <w:szCs w:val="21"/>
              </w:rPr>
              <w:t>8届达</w:t>
            </w:r>
            <w:r>
              <w:rPr>
                <w:szCs w:val="21"/>
              </w:rPr>
              <w:t xml:space="preserve"> 96.</w:t>
            </w:r>
            <w:r>
              <w:rPr>
                <w:rFonts w:hint="eastAsia"/>
                <w:szCs w:val="21"/>
              </w:rPr>
              <w:t>3</w:t>
            </w:r>
            <w:r>
              <w:rPr>
                <w:szCs w:val="21"/>
              </w:rPr>
              <w:t>%</w:t>
            </w:r>
            <w:r>
              <w:rPr>
                <w:rFonts w:hint="eastAsia"/>
                <w:szCs w:val="21"/>
              </w:rPr>
              <w:t>。信息技术测试一次性合格率</w:t>
            </w:r>
            <w:r>
              <w:rPr>
                <w:szCs w:val="21"/>
              </w:rPr>
              <w:t>201</w:t>
            </w:r>
            <w:r>
              <w:rPr>
                <w:rFonts w:hint="eastAsia"/>
                <w:szCs w:val="21"/>
              </w:rPr>
              <w:t>6届达</w:t>
            </w:r>
            <w:r>
              <w:rPr>
                <w:szCs w:val="21"/>
              </w:rPr>
              <w:t>98.</w:t>
            </w:r>
            <w:r>
              <w:rPr>
                <w:rFonts w:hint="eastAsia"/>
                <w:szCs w:val="21"/>
              </w:rPr>
              <w:t>7</w:t>
            </w:r>
            <w:r>
              <w:rPr>
                <w:szCs w:val="21"/>
              </w:rPr>
              <w:t>%</w:t>
            </w:r>
            <w:r>
              <w:rPr>
                <w:rFonts w:hint="eastAsia"/>
                <w:szCs w:val="21"/>
              </w:rPr>
              <w:t>，</w:t>
            </w:r>
            <w:r>
              <w:rPr>
                <w:szCs w:val="21"/>
              </w:rPr>
              <w:t>201</w:t>
            </w:r>
            <w:r>
              <w:rPr>
                <w:rFonts w:hint="eastAsia"/>
                <w:szCs w:val="21"/>
              </w:rPr>
              <w:t>7届达99.8%，</w:t>
            </w:r>
            <w:r>
              <w:rPr>
                <w:szCs w:val="21"/>
              </w:rPr>
              <w:t>201</w:t>
            </w:r>
            <w:r>
              <w:rPr>
                <w:rFonts w:hint="eastAsia"/>
                <w:szCs w:val="21"/>
              </w:rPr>
              <w:t>8届达100</w:t>
            </w:r>
            <w:r>
              <w:rPr>
                <w:szCs w:val="21"/>
              </w:rPr>
              <w:t>%</w:t>
            </w:r>
            <w:r>
              <w:rPr>
                <w:rFonts w:hint="eastAsia"/>
                <w:szCs w:val="21"/>
              </w:rPr>
              <w:t>。</w:t>
            </w:r>
          </w:p>
          <w:p>
            <w:pPr>
              <w:spacing w:line="360" w:lineRule="exact"/>
              <w:ind w:firstLine="482" w:firstLineChars="200"/>
              <w:rPr>
                <w:rFonts w:ascii="宋体"/>
                <w:b/>
                <w:sz w:val="24"/>
              </w:rPr>
            </w:pPr>
            <w:r>
              <w:rPr>
                <w:rFonts w:hint="eastAsia" w:ascii="宋体" w:hAnsi="宋体"/>
                <w:b/>
                <w:sz w:val="24"/>
                <w:szCs w:val="21"/>
              </w:rPr>
              <w:t>C48</w:t>
            </w:r>
            <w:r>
              <w:rPr>
                <w:rFonts w:ascii="宋体" w:hAnsi="宋体"/>
                <w:b/>
                <w:bCs/>
                <w:sz w:val="24"/>
                <w:szCs w:val="21"/>
              </w:rPr>
              <w:t xml:space="preserve"> </w:t>
            </w:r>
            <w:r>
              <w:rPr>
                <w:rFonts w:hint="eastAsia" w:ascii="宋体" w:hAnsi="宋体"/>
                <w:b/>
                <w:bCs/>
                <w:sz w:val="24"/>
                <w:szCs w:val="21"/>
              </w:rPr>
              <w:t>:</w:t>
            </w:r>
            <w:r>
              <w:rPr>
                <w:rFonts w:ascii="宋体" w:hAnsi="宋体"/>
                <w:bCs/>
                <w:szCs w:val="21"/>
              </w:rPr>
              <w:t>按照</w:t>
            </w:r>
            <w:r>
              <w:rPr>
                <w:rFonts w:hint="eastAsia" w:ascii="宋体" w:hAnsi="宋体"/>
                <w:bCs/>
                <w:szCs w:val="21"/>
              </w:rPr>
              <w:t>《国家学生体质健康标准》，近三年学校测试合格率始终在90%以上，优秀率达到8%以上。2014年合格率达98.7%，优秀率达10.8%。2015年合格率达99.3%，优秀率达9.6%。2016年合格率达99.3%，优秀率达11.7%。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rPr>
                <w:rFonts w:ascii="宋体"/>
                <w:b/>
                <w:sz w:val="24"/>
              </w:rPr>
            </w:pPr>
          </w:p>
        </w:tc>
      </w:tr>
    </w:tbl>
    <w:p>
      <w:pPr>
        <w:rPr>
          <w:rFonts w:ascii="宋体"/>
        </w:rPr>
      </w:pPr>
      <w:r>
        <w:rPr>
          <w:rFonts w:hint="eastAsia" w:ascii="宋体"/>
        </w:rPr>
        <w:t>注：必查材料为毕业班学生综合素质评价表及成长记录袋，近三年学业水平测试、《国家学生体质健康标准》测试原始材料。</w:t>
      </w:r>
    </w:p>
    <w:p>
      <w:pPr>
        <w:rPr>
          <w:rFonts w:ascii="宋体"/>
          <w:b/>
          <w:szCs w:val="21"/>
        </w:rPr>
      </w:pPr>
    </w:p>
    <w:tbl>
      <w:tblPr>
        <w:tblStyle w:val="14"/>
        <w:tblW w:w="929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11" w:type="dxa"/>
            <w:vAlign w:val="center"/>
          </w:tcPr>
          <w:p>
            <w:pPr>
              <w:jc w:val="center"/>
              <w:rPr>
                <w:rFonts w:ascii="宋体"/>
                <w:b/>
                <w:sz w:val="24"/>
              </w:rPr>
            </w:pPr>
            <w:r>
              <w:rPr>
                <w:rFonts w:hint="eastAsia" w:ascii="宋体"/>
                <w:b/>
                <w:sz w:val="24"/>
              </w:rPr>
              <w:t>B级指标</w:t>
            </w:r>
          </w:p>
        </w:tc>
        <w:tc>
          <w:tcPr>
            <w:tcW w:w="6720" w:type="dxa"/>
            <w:vAlign w:val="center"/>
          </w:tcPr>
          <w:p>
            <w:pPr>
              <w:ind w:left="228"/>
              <w:jc w:val="center"/>
              <w:rPr>
                <w:rFonts w:ascii="宋体"/>
                <w:b/>
                <w:sz w:val="24"/>
              </w:rPr>
            </w:pPr>
            <w:r>
              <w:rPr>
                <w:rFonts w:hint="eastAsia" w:ascii="宋体"/>
                <w:b/>
                <w:sz w:val="24"/>
              </w:rPr>
              <w:t>C 级 指 标</w:t>
            </w:r>
          </w:p>
        </w:tc>
        <w:tc>
          <w:tcPr>
            <w:tcW w:w="1260" w:type="dxa"/>
            <w:vAlign w:val="center"/>
          </w:tcPr>
          <w:p>
            <w:pPr>
              <w:jc w:val="center"/>
              <w:rPr>
                <w:rFonts w:ascii="宋体"/>
                <w:b/>
                <w:sz w:val="24"/>
              </w:rPr>
            </w:pPr>
            <w:r>
              <w:rPr>
                <w:rFonts w:hint="eastAsia" w:ascii="宋体"/>
                <w:b/>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 w:hRule="atLeast"/>
        </w:trPr>
        <w:tc>
          <w:tcPr>
            <w:tcW w:w="1311" w:type="dxa"/>
            <w:vAlign w:val="center"/>
          </w:tcPr>
          <w:p>
            <w:pPr>
              <w:spacing w:line="260" w:lineRule="exact"/>
              <w:ind w:right="-107" w:rightChars="-51"/>
              <w:rPr>
                <w:rFonts w:ascii="仿宋_GB2312" w:eastAsia="仿宋_GB2312"/>
                <w:color w:val="000000"/>
                <w:sz w:val="24"/>
                <w:szCs w:val="24"/>
              </w:rPr>
            </w:pPr>
            <w:r>
              <w:rPr>
                <w:rFonts w:hint="eastAsia" w:ascii="仿宋_GB2312" w:hAnsi="宋体" w:eastAsia="仿宋_GB2312" w:cs="宋体"/>
                <w:color w:val="000000"/>
                <w:sz w:val="24"/>
                <w:szCs w:val="24"/>
              </w:rPr>
              <w:t>B21．</w:t>
            </w:r>
          </w:p>
          <w:p>
            <w:pPr>
              <w:spacing w:line="260" w:lineRule="exact"/>
              <w:ind w:right="-107" w:rightChars="-51"/>
              <w:rPr>
                <w:rFonts w:ascii="仿宋_GB2312" w:eastAsia="仿宋_GB2312"/>
                <w:color w:val="000000"/>
                <w:sz w:val="24"/>
                <w:szCs w:val="24"/>
              </w:rPr>
            </w:pPr>
            <w:r>
              <w:rPr>
                <w:rFonts w:hint="eastAsia" w:ascii="仿宋_GB2312" w:hAnsi="宋体" w:eastAsia="仿宋_GB2312" w:cs="宋体"/>
                <w:color w:val="000000"/>
                <w:sz w:val="24"/>
                <w:szCs w:val="24"/>
              </w:rPr>
              <w:t>特色声誉</w:t>
            </w:r>
          </w:p>
          <w:p>
            <w:pPr>
              <w:spacing w:line="340" w:lineRule="exact"/>
              <w:ind w:right="-107" w:rightChars="-51"/>
              <w:jc w:val="center"/>
              <w:rPr>
                <w:rFonts w:ascii="仿宋_GB2312" w:eastAsia="仿宋_GB2312"/>
                <w:color w:val="000000"/>
                <w:sz w:val="24"/>
                <w:szCs w:val="24"/>
              </w:rPr>
            </w:pPr>
            <w:r>
              <w:rPr>
                <w:rFonts w:hint="eastAsia" w:ascii="仿宋_GB2312" w:hAnsi="宋体" w:eastAsia="仿宋_GB2312" w:cs="宋体"/>
                <w:color w:val="000000"/>
                <w:sz w:val="24"/>
                <w:szCs w:val="24"/>
              </w:rPr>
              <w:t>（10分）</w:t>
            </w:r>
          </w:p>
        </w:tc>
        <w:tc>
          <w:tcPr>
            <w:tcW w:w="6720" w:type="dxa"/>
            <w:vAlign w:val="center"/>
          </w:tcPr>
          <w:p>
            <w:pPr>
              <w:spacing w:line="340" w:lineRule="exact"/>
              <w:ind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C49．学校“主动发展”工程全面深化，内涵品质进一步提升，办学特色鲜明。课程基地、教改前瞻性项目有影响力，逐步形成核心优势</w:t>
            </w:r>
            <w:r>
              <w:rPr>
                <w:rFonts w:hint="eastAsia" w:ascii="仿宋_GB2312" w:hAnsi="宋体" w:eastAsia="仿宋_GB2312" w:cs="宋体"/>
                <w:b/>
                <w:bCs/>
                <w:color w:val="000000"/>
                <w:sz w:val="24"/>
                <w:szCs w:val="24"/>
              </w:rPr>
              <w:t>。</w:t>
            </w:r>
            <w:r>
              <w:rPr>
                <w:rFonts w:hint="eastAsia" w:ascii="仿宋_GB2312" w:hAnsi="宋体" w:eastAsia="仿宋_GB2312" w:cs="宋体"/>
                <w:color w:val="000000"/>
                <w:sz w:val="24"/>
                <w:szCs w:val="24"/>
              </w:rPr>
              <w:t>创新创优、提档升级，积极争创“高品质（示范）高中”</w:t>
            </w:r>
            <w:r>
              <w:rPr>
                <w:rFonts w:hint="eastAsia" w:ascii="仿宋_GB2312" w:hAnsi="宋体" w:eastAsia="仿宋_GB2312" w:cs="宋体"/>
                <w:b/>
                <w:bCs/>
                <w:color w:val="000000"/>
                <w:sz w:val="24"/>
                <w:szCs w:val="24"/>
              </w:rPr>
              <w:t>。</w:t>
            </w:r>
            <w:r>
              <w:rPr>
                <w:rFonts w:hint="eastAsia" w:ascii="仿宋_GB2312" w:hAnsi="宋体" w:eastAsia="仿宋_GB2312" w:cs="宋体"/>
                <w:color w:val="000000"/>
                <w:sz w:val="24"/>
                <w:szCs w:val="24"/>
              </w:rPr>
              <w:t>素质教育工作经验得到同行认同和上级肯定，并被宣传和推广。（6分）</w:t>
            </w:r>
          </w:p>
          <w:p>
            <w:pPr>
              <w:spacing w:line="340" w:lineRule="exact"/>
              <w:ind w:firstLine="480" w:firstLineChars="200"/>
              <w:rPr>
                <w:rFonts w:ascii="仿宋_GB2312" w:eastAsia="仿宋_GB2312"/>
                <w:sz w:val="24"/>
                <w:szCs w:val="24"/>
              </w:rPr>
            </w:pPr>
            <w:r>
              <w:rPr>
                <w:rFonts w:hint="eastAsia" w:ascii="仿宋_GB2312" w:hAnsi="宋体" w:eastAsia="仿宋_GB2312" w:cs="宋体"/>
                <w:color w:val="000000"/>
                <w:sz w:val="24"/>
                <w:szCs w:val="24"/>
              </w:rPr>
              <w:t>C50．学生身心健康、全面发展，教育教学效果显著。师生安全感、成就感、幸福感明显增强。人民满意保持高位，学生、家长和社会的满意度达90％以上。（4分）</w:t>
            </w:r>
          </w:p>
        </w:tc>
        <w:tc>
          <w:tcPr>
            <w:tcW w:w="1260" w:type="dxa"/>
            <w:vAlign w:val="center"/>
          </w:tcPr>
          <w:p>
            <w:pPr>
              <w:jc w:val="center"/>
              <w:rPr>
                <w:rFonts w:ascii="宋体"/>
              </w:rPr>
            </w:pPr>
            <w:r>
              <w:rPr>
                <w:rFonts w:hint="eastAsia" w:ascii="宋体"/>
              </w:rPr>
              <w:t>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91" w:type="dxa"/>
            <w:gridSpan w:val="3"/>
            <w:vAlign w:val="center"/>
          </w:tcPr>
          <w:p>
            <w:pPr>
              <w:jc w:val="center"/>
              <w:rPr>
                <w:rFonts w:ascii="宋体"/>
                <w:b/>
                <w:sz w:val="24"/>
              </w:rPr>
            </w:pPr>
            <w:r>
              <w:rPr>
                <w:rFonts w:hint="eastAsia" w:ascii="宋体"/>
                <w:b/>
                <w:sz w:val="24"/>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spacing w:line="360" w:lineRule="exact"/>
              <w:ind w:firstLine="482" w:firstLineChars="200"/>
              <w:rPr>
                <w:rFonts w:ascii="宋体" w:hAnsi="宋体" w:cs="宋体"/>
                <w:szCs w:val="21"/>
              </w:rPr>
            </w:pPr>
            <w:r>
              <w:rPr>
                <w:rFonts w:hint="eastAsia" w:ascii="宋体" w:hAnsi="宋体" w:cs="宋体"/>
                <w:b/>
                <w:bCs/>
                <w:sz w:val="24"/>
                <w:szCs w:val="21"/>
              </w:rPr>
              <w:t>C49：</w:t>
            </w:r>
            <w:r>
              <w:rPr>
                <w:rFonts w:hint="eastAsia" w:ascii="宋体" w:hAnsi="宋体" w:cs="宋体"/>
                <w:szCs w:val="21"/>
              </w:rPr>
              <w:t xml:space="preserve">学校先后制定了实施了四轮主动发展规划，并将按照最新的第五轮规划指引积极开展工作。学校秉承“让学生收获成功”的办学理念，坚持主动发展，内涵发展，特色发展，优质发展，以文化建设为抓手，以艺术特色教育为突破口，积极探索主动发展，内涵发展，特色发展，优质发展的新举措，营造了浓郁的学校文化氛围，逐步形成了鲜明的艺术特色教育品牌。学校先后被评为“全国校园文化建设百佳创新学校”“江苏省艺术教育特色学校”“全国百强特色学校”，学校在2014年成功晋级江苏省四星级普通高中，实现办学历史上的一个质的飞跃。学校为武进区艺术与人生课程基地，学校生本课堂教改项目深入推进，有一定影响力。 </w:t>
            </w:r>
          </w:p>
          <w:p>
            <w:pPr>
              <w:spacing w:line="360" w:lineRule="exact"/>
              <w:ind w:firstLine="420" w:firstLineChars="200"/>
              <w:jc w:val="left"/>
              <w:rPr>
                <w:rFonts w:ascii="宋体" w:hAnsi="宋体" w:cs="宋体"/>
                <w:szCs w:val="21"/>
              </w:rPr>
            </w:pPr>
            <w:r>
              <w:rPr>
                <w:rFonts w:hint="eastAsia" w:ascii="宋体" w:hAnsi="宋体" w:cs="宋体"/>
                <w:szCs w:val="21"/>
              </w:rPr>
              <w:t>优良的办学业绩引来同行的关注。三年来，先后有宝应县画川高级中学、泰州中学、镇江一中、芜湖江南实验中学、扬州公道中学、高邮二中、句容三中、宿迁马陵中学、宝应县安宜高级中学等省内外高中到校交流考察。新疆尼勒克教师教师代表团在武进学习期间也专程到访考察学校艺术教育特色。三江学院、陕西咸阳师范、无锡职业技术学院等高校领导也亲临学校考察。</w:t>
            </w:r>
          </w:p>
          <w:p>
            <w:pPr>
              <w:spacing w:line="360" w:lineRule="exact"/>
              <w:ind w:firstLine="420" w:firstLineChars="200"/>
              <w:jc w:val="left"/>
              <w:rPr>
                <w:rFonts w:ascii="宋体" w:hAnsi="宋体" w:cs="宋体"/>
                <w:szCs w:val="21"/>
              </w:rPr>
            </w:pPr>
            <w:r>
              <w:rPr>
                <w:rFonts w:hint="eastAsia" w:ascii="宋体" w:hAnsi="宋体" w:cs="宋体"/>
                <w:szCs w:val="21"/>
              </w:rPr>
              <w:t>学校素质教育工作经验多次在市、区教育工作会议上交流。省市区各级领导高度盛赞学校“走特色办学之路，特色教育质量高；表现为规模大、成绩大、影响大；高考优异，竞赛领先，学生发展；做法独特，做得优秀。”三年来，江苏教育报，江苏教育周刊、常州日报，武进电视台、武进日报社等主流媒体，就学校的办学特色，亮点活动，办学成果等主动安排记者来校深入采访报道。2016年《武进日报》还出刊了关于学校艺术教育办学特色的整版专题报道。新华报业网、《中国教育报》《教师报》《江苏教育报》《常州日报》和江苏教育电视台、常州市电视台、武进电视台等媒体都曾作专题报道。媒体曾结合学校培养学生“低进高出转化率高、错位发展成材率高”的现象，把这种合适教育誉为“洛高现象”。</w:t>
            </w:r>
          </w:p>
          <w:p>
            <w:pPr>
              <w:adjustRightInd w:val="0"/>
              <w:snapToGrid w:val="0"/>
              <w:spacing w:line="360" w:lineRule="exact"/>
              <w:ind w:firstLine="482" w:firstLineChars="200"/>
              <w:rPr>
                <w:rFonts w:ascii="宋体" w:hAnsi="宋体"/>
                <w:color w:val="000000"/>
                <w:szCs w:val="21"/>
              </w:rPr>
            </w:pPr>
            <w:r>
              <w:rPr>
                <w:rFonts w:hint="eastAsia" w:ascii="宋体" w:hAnsi="宋体"/>
                <w:b/>
                <w:bCs/>
                <w:color w:val="000000"/>
                <w:sz w:val="24"/>
                <w:szCs w:val="21"/>
              </w:rPr>
              <w:t>C50:</w:t>
            </w:r>
            <w:r>
              <w:rPr>
                <w:rFonts w:hint="eastAsia" w:ascii="宋体" w:hAnsi="宋体"/>
                <w:color w:val="000000"/>
                <w:szCs w:val="21"/>
              </w:rPr>
              <w:t>学校秉承“让学生收获成功”的办学理念，积极探索符合本校实际的德育工作，保障学生的身心健康，让学生全面发展，提升教育教学效果，提高师生安全感、成就感、幸福感，人民满意度高。</w:t>
            </w:r>
          </w:p>
          <w:p>
            <w:pPr>
              <w:spacing w:line="360" w:lineRule="exact"/>
              <w:ind w:firstLine="420" w:firstLineChars="200"/>
              <w:rPr>
                <w:rFonts w:ascii="宋体" w:hAnsi="宋体"/>
              </w:rPr>
            </w:pPr>
            <w:r>
              <w:rPr>
                <w:rFonts w:hint="eastAsia" w:ascii="宋体" w:hAnsi="宋体"/>
              </w:rPr>
              <w:t>学校全面贯彻国家教育方针，大力推进素质教育，积极实施课程改革，不懈践行“让学生收获成功”的办学理念，近几年学校办学绩效明显，在学生综合素质提升、各类考试、科技活动、学科竞赛和学生创新精神、实践能力培养等方面取得了可喜的成绩。</w:t>
            </w:r>
          </w:p>
          <w:p>
            <w:pPr>
              <w:spacing w:line="360" w:lineRule="exact"/>
              <w:ind w:firstLine="422" w:firstLineChars="200"/>
              <w:rPr>
                <w:rFonts w:ascii="宋体" w:hAnsi="宋体"/>
              </w:rPr>
            </w:pPr>
            <w:r>
              <w:rPr>
                <w:rFonts w:hint="eastAsia" w:ascii="宋体" w:hAnsi="宋体"/>
                <w:b/>
              </w:rPr>
              <w:t>学校关注学生身心发展，确保学生全面发展。</w:t>
            </w:r>
            <w:r>
              <w:rPr>
                <w:rFonts w:hint="eastAsia" w:ascii="宋体" w:hAnsi="宋体"/>
              </w:rPr>
              <w:t>多年来，学校践行“让学生收获成功”的办学理念，时刻关注学生的身心发展，保证每天有一小时的锻炼时间，校长室、党支部、政教处、年级部齐抓共管，实行班主任例会制、班主任行政每月总结会等。班主任、全体教职工和中层行政人员分工负责，全员、全程、全面管理，尤其是在毕业班年级实施任课教师与学生“一对一”结对，在思想上多引领、生活上多关心、课堂上多提问、课后多沟通，真正起到促进学生健康成长、全面发展的作用。同时，各年级均成立家长委员会，每学期举行法制教育报告会，真正做到学校、家庭、社会教育三结合，形成了强大的教育合力；学校还充分结合上级部门的各种主题教育活动，开展了一系列有特色、富有成效的社团活动和实践活动，取得了积极的效果，如开展“踏歌、毅行”生命教育系列活动，锻炼意志，树立信心；有序召开德育主题班会课，凝聚人心，增强合力；结合世界读书日开展读书节大型活动月，促进阅读，精致人生；学校通过开展每年一次、为期一个月的校园文化艺术节活动，让学生展示多方面的才华，获得全方位的发展。学校有专门的心理咨询室，全天对学生开放，有国家二级心理咨询师宣建英老师对学生进行心理辅导。</w:t>
            </w:r>
          </w:p>
          <w:p>
            <w:pPr>
              <w:adjustRightInd w:val="0"/>
              <w:snapToGrid w:val="0"/>
              <w:spacing w:line="360" w:lineRule="exact"/>
              <w:ind w:firstLine="422" w:firstLineChars="200"/>
              <w:rPr>
                <w:rFonts w:ascii="宋体" w:hAnsi="宋体"/>
              </w:rPr>
            </w:pPr>
            <w:r>
              <w:rPr>
                <w:rFonts w:hint="eastAsia" w:ascii="宋体" w:hAnsi="宋体"/>
                <w:b/>
                <w:bCs/>
              </w:rPr>
              <w:t>学校教育教学效果显著。</w:t>
            </w:r>
            <w:r>
              <w:rPr>
                <w:rFonts w:hint="eastAsia" w:ascii="宋体" w:hAnsi="宋体"/>
              </w:rPr>
              <w:t>学校基于全面实施素质教育的要求，多年来，特色建设与学校同步发展，实现了质量立校、科研兴校、特色强校的跨越式发展。2013年5月，学校初高中分设，2014年3月，学校成功创建成为江苏省四星级普通高中，学校办学声誉和品牌影响不断攀升。</w:t>
            </w:r>
          </w:p>
          <w:p>
            <w:pPr>
              <w:spacing w:line="360" w:lineRule="exact"/>
              <w:ind w:firstLine="420" w:firstLineChars="200"/>
              <w:jc w:val="left"/>
            </w:pPr>
            <w:r>
              <w:rPr>
                <w:rFonts w:hint="eastAsia" w:ascii="宋体" w:hAnsi="宋体"/>
              </w:rPr>
              <w:t>学校艺术教育特色办学的成功实践，也提升了学校的办学质量。</w:t>
            </w:r>
            <w:r>
              <w:rPr>
                <w:rFonts w:hint="eastAsia"/>
              </w:rPr>
              <w:t>学校先后获得了 “江苏省艺术教育特色学校”“全国百强特色学校”等多项荣誉，连续十一年获得武进区全面实施素质教育工作一等奖。</w:t>
            </w:r>
          </w:p>
          <w:p>
            <w:pPr>
              <w:adjustRightInd w:val="0"/>
              <w:snapToGrid w:val="0"/>
              <w:spacing w:line="360" w:lineRule="exact"/>
              <w:ind w:firstLine="422" w:firstLineChars="200"/>
              <w:rPr>
                <w:rFonts w:ascii="宋体" w:hAnsi="宋体"/>
              </w:rPr>
            </w:pPr>
            <w:r>
              <w:rPr>
                <w:rFonts w:ascii="仿宋_GB2312" w:hAnsi="宋体" w:cs="宋体"/>
                <w:b/>
                <w:bCs/>
                <w:color w:val="000000"/>
              </w:rPr>
              <w:t>师生安全感、成就感、幸福感明显增强</w:t>
            </w:r>
            <w:r>
              <w:rPr>
                <w:rFonts w:hint="eastAsia" w:ascii="仿宋_GB2312" w:hAnsi="宋体" w:cs="宋体"/>
                <w:b/>
                <w:bCs/>
                <w:color w:val="000000"/>
              </w:rPr>
              <w:t>。</w:t>
            </w:r>
            <w:r>
              <w:rPr>
                <w:rFonts w:hint="eastAsia" w:ascii="宋体" w:hAnsi="宋体"/>
              </w:rPr>
              <w:t xml:space="preserve">学校秉承以人为本的理念，关爱善待教职员工，既有刚性的纪律约束，又体现人文关怀。通过评选“十佳师德模范”“星星点灯”教育基金奖励教师等，表彰先进，激励师生积极进取。工会开展夏季送清凉，春节送温暖，生日送祝福，教师节慰问等活动，学校组织丰富多彩的教职工文体活动，营造和谐向上的教师工作氛围，增强教职工凝聚力和向心力，增加他们的职业幸福感。全校师生同心协力，共创学校事业。“立德树人，百年大计”，2017年，学校对周建扬、刘东华等十位三十年教龄以上的教师进行了表彰。国家教育部、国家人社部联合向截止到2016年在乡村从教满30周年的教师颁发了“乡村学校从教30年”的荣誉证书，蔡建泉、徐文君、陈建平、孟震宇、谈国庆等五位在职老师获此殊荣。 </w:t>
            </w:r>
            <w:r>
              <w:rPr>
                <w:rFonts w:hint="eastAsia" w:ascii="宋体" w:hAnsi="宋体" w:cs="宋体"/>
                <w:szCs w:val="21"/>
              </w:rPr>
              <w:t>政府、学校每学期帮扶家庭经济贫困的学生，确保没有任何一位学生因家庭贫困等原因失学。</w:t>
            </w:r>
            <w:r>
              <w:rPr>
                <w:rFonts w:ascii="宋体" w:hAnsi="宋体" w:cs="宋体"/>
                <w:kern w:val="0"/>
                <w:szCs w:val="21"/>
              </w:rPr>
              <w:t>近年来，在镇党委、政府的积极倡导下，在镇商会、青商会、工会、团委及社会各界人士的鼎力支持下，助学之举逐年增多。洛阳高中也积极为困难学生牵线搭桥，尽学校所能，真正为学生解决实际困难。</w:t>
            </w:r>
            <w:r>
              <w:rPr>
                <w:rFonts w:hint="eastAsia" w:ascii="宋体" w:hAnsi="宋体" w:cs="宋体"/>
                <w:kern w:val="0"/>
                <w:szCs w:val="21"/>
              </w:rPr>
              <w:t>2015年的</w:t>
            </w:r>
            <w:r>
              <w:rPr>
                <w:rFonts w:ascii="宋体" w:hAnsi="宋体" w:cs="宋体"/>
                <w:kern w:val="0"/>
                <w:szCs w:val="21"/>
              </w:rPr>
              <w:t>“圆梦行动”，帮助16名学子圆梦大学。</w:t>
            </w:r>
            <w:r>
              <w:rPr>
                <w:rFonts w:hint="eastAsia" w:ascii="宋体" w:hAnsi="宋体" w:cs="宋体"/>
                <w:kern w:val="0"/>
                <w:szCs w:val="21"/>
              </w:rPr>
              <w:t>89届校友</w:t>
            </w:r>
            <w:r>
              <w:rPr>
                <w:rFonts w:hint="eastAsia" w:ascii="宋体" w:hAnsi="宋体"/>
              </w:rPr>
              <w:t>“星星点灯”教育基金、95届校友教育基金等奖励洛高学子，奋勇前进。</w:t>
            </w:r>
          </w:p>
          <w:p>
            <w:pPr>
              <w:adjustRightInd w:val="0"/>
              <w:snapToGrid w:val="0"/>
              <w:spacing w:line="360" w:lineRule="exact"/>
              <w:ind w:firstLine="420" w:firstLineChars="200"/>
              <w:rPr>
                <w:rFonts w:ascii="宋体" w:hAnsi="宋体"/>
              </w:rPr>
            </w:pPr>
            <w:r>
              <w:rPr>
                <w:rFonts w:hint="eastAsia" w:ascii="宋体" w:hAnsi="宋体"/>
              </w:rPr>
              <w:t>学校的不断成功和良好声誉又让全校师生成为受益者，共同分享学校发展成果。师生的安全感、成就感和幸福感明显增强。</w:t>
            </w:r>
          </w:p>
          <w:p>
            <w:pPr>
              <w:adjustRightInd w:val="0"/>
              <w:snapToGrid w:val="0"/>
              <w:spacing w:line="360" w:lineRule="exact"/>
              <w:ind w:firstLine="422" w:firstLineChars="200"/>
              <w:rPr>
                <w:rFonts w:ascii="宋体" w:hAnsi="宋体"/>
                <w:color w:val="000000"/>
                <w:szCs w:val="21"/>
              </w:rPr>
            </w:pPr>
            <w:r>
              <w:rPr>
                <w:rFonts w:hint="eastAsia" w:ascii="宋体" w:hAnsi="宋体"/>
                <w:b/>
                <w:bCs/>
              </w:rPr>
              <w:t>学校满意度保持高位。</w:t>
            </w:r>
            <w:r>
              <w:rPr>
                <w:rFonts w:hint="eastAsia" w:ascii="宋体" w:hAnsi="宋体"/>
              </w:rPr>
              <w:t>多年来，学校工作扎实有效，成绩显著，受到了学生、</w:t>
            </w:r>
            <w:r>
              <w:rPr>
                <w:rFonts w:hint="eastAsia" w:ascii="宋体" w:hAnsi="宋体"/>
                <w:color w:val="000000"/>
                <w:szCs w:val="21"/>
              </w:rPr>
              <w:t>家长、社会和各级领导的好评，社会美誉度逐年提高。三年来，先后有洛阳镇商会会长陈汉光先生等社会贤达主动捐资奖教，洛阳镇青商会青年企业家集体捐资助学。学校的75届，80届、95届、96届、2000届等一届届校友都乐于返校联谊，他们回忆往事，感念母校，有的还捐资捐物。其中89届校友心系母校发展，在听到学校2016届高考再创佳绩后，决定以众筹的方式在母校成立30万“星星点灯教育基金会”，专门奖励品学兼优的学生和为学校做出突出贡献的老师。</w:t>
            </w:r>
          </w:p>
          <w:p>
            <w:pPr>
              <w:spacing w:line="360" w:lineRule="exact"/>
              <w:ind w:firstLine="413" w:firstLineChars="197"/>
              <w:rPr>
                <w:rFonts w:ascii="宋体"/>
                <w:b/>
                <w:sz w:val="24"/>
              </w:rPr>
            </w:pPr>
            <w:r>
              <w:rPr>
                <w:rFonts w:hint="eastAsia" w:ascii="宋体" w:hAnsi="宋体"/>
                <w:color w:val="000000"/>
                <w:szCs w:val="21"/>
              </w:rPr>
              <w:t>学校获得荣誉也更有档次。自2014年学校评为江苏省四星级普通高中以来，学校先后荣获全国特色教育示范单位、江苏省中小学书香校园阅读基地、全国地理科普教育示范基地、江苏省健康促进银奖学校、武进区文明单位等荣誉称号；成为中国美术学院生源培育基地实验学校、“中国好教育”联盟联合体江苏六朝联盟理事单位；学校党支部被评为中共常州市委先进基层党支部、获得常州市委教育工委先进基层党组织称号；学校团委获团市委常州市学校“优秀团组织”和常州市教育系统先进团组织称号，三年中两度被共青团武进区委评为“先进团委”。学校三年内两次荣获全国青少年读书教育活动组织奖、在全国青少年学生法治知识网络大赛中和全国高中生大型征文活动中荣获优秀组织奖。学校连续十一年获武进区全面实施素质教育工作一等奖。学校优良的办学业绩，教师朴实敬业的工作作风、学生踏实肯苦的学风让家长满意让社会满意。在近几年的满意度测评中，学生、家长和社会满意度均在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291" w:type="dxa"/>
            <w:gridSpan w:val="3"/>
            <w:vAlign w:val="center"/>
          </w:tcPr>
          <w:p>
            <w:pPr>
              <w:jc w:val="center"/>
              <w:rPr>
                <w:rFonts w:ascii="宋体"/>
                <w:b/>
                <w:sz w:val="24"/>
              </w:rPr>
            </w:pPr>
            <w:r>
              <w:rPr>
                <w:rFonts w:hint="eastAsia" w:ascii="宋体"/>
                <w:b/>
                <w:sz w:val="24"/>
              </w:rPr>
              <w:t>自评扣分情况及原因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291" w:type="dxa"/>
            <w:gridSpan w:val="3"/>
            <w:vAlign w:val="center"/>
          </w:tcPr>
          <w:p>
            <w:pPr>
              <w:rPr>
                <w:rFonts w:ascii="宋体"/>
                <w:szCs w:val="21"/>
              </w:rPr>
            </w:pPr>
            <w:r>
              <w:rPr>
                <w:rFonts w:hint="eastAsia" w:ascii="宋体"/>
                <w:szCs w:val="21"/>
              </w:rPr>
              <w:t>学校《艺术与人生》为区级课程基地，近三年无前瞻性项目获奖。扣0.5分</w:t>
            </w:r>
          </w:p>
        </w:tc>
      </w:tr>
    </w:tbl>
    <w:p>
      <w:pPr>
        <w:rPr>
          <w:rFonts w:ascii="宋体"/>
          <w:b/>
          <w:szCs w:val="21"/>
        </w:rPr>
      </w:pPr>
      <w:r>
        <w:rPr>
          <w:rFonts w:hint="eastAsia" w:ascii="宋体"/>
        </w:rPr>
        <w:t>注：必查材料为学校特色发展、素质教育经验成果的印证材料，课程基地项目建设相关材料，学生、家长和社会满意度调查的原始材料。</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hint="eastAsia" w:ascii="宋体"/>
        </w:rPr>
      </w:pPr>
    </w:p>
    <w:p>
      <w:pPr>
        <w:rPr>
          <w:rFonts w:hint="eastAsia"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jc w:val="center"/>
        <w:rPr>
          <w:rFonts w:ascii="宋体"/>
          <w:b/>
          <w:sz w:val="36"/>
          <w:szCs w:val="36"/>
        </w:rPr>
      </w:pPr>
    </w:p>
    <w:p>
      <w:pPr>
        <w:jc w:val="center"/>
        <w:rPr>
          <w:rFonts w:ascii="宋体"/>
          <w:sz w:val="24"/>
          <w:szCs w:val="24"/>
        </w:rPr>
      </w:pPr>
      <w:r>
        <w:rPr>
          <w:rFonts w:hint="eastAsia" w:ascii="宋体"/>
          <w:b/>
          <w:sz w:val="36"/>
          <w:szCs w:val="36"/>
        </w:rPr>
        <w:t>四、相 关 附 件</w:t>
      </w:r>
    </w:p>
    <w:p>
      <w:pPr>
        <w:tabs>
          <w:tab w:val="left" w:pos="0"/>
        </w:tabs>
        <w:spacing w:line="560" w:lineRule="exact"/>
        <w:ind w:right="560"/>
        <w:rPr>
          <w:rFonts w:ascii="宋体"/>
          <w:b/>
          <w:sz w:val="28"/>
          <w:szCs w:val="28"/>
        </w:rPr>
      </w:pPr>
      <w:r>
        <w:rPr>
          <w:rFonts w:hint="eastAsia" w:ascii="宋体"/>
          <w:b/>
          <w:sz w:val="28"/>
          <w:szCs w:val="28"/>
        </w:rPr>
        <w:t>1.校园校舍平面图</w:t>
      </w:r>
    </w:p>
    <w:p>
      <w:r>
        <w:drawing>
          <wp:inline distT="0" distB="0" distL="114300" distR="114300">
            <wp:extent cx="5937885" cy="5830570"/>
            <wp:effectExtent l="19050" t="0" r="5402" b="0"/>
            <wp:docPr id="1" name="图片 1" descr="wps6D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6DB4"/>
                    <pic:cNvPicPr>
                      <a:picLocks noChangeAspect="1"/>
                    </pic:cNvPicPr>
                  </pic:nvPicPr>
                  <pic:blipFill>
                    <a:blip r:embed="rId7" cstate="print"/>
                    <a:stretch>
                      <a:fillRect/>
                    </a:stretch>
                  </pic:blipFill>
                  <pic:spPr>
                    <a:xfrm>
                      <a:off x="0" y="0"/>
                      <a:ext cx="5944050" cy="5836745"/>
                    </a:xfrm>
                    <a:prstGeom prst="rect">
                      <a:avLst/>
                    </a:prstGeom>
                    <a:noFill/>
                    <a:ln w="9525">
                      <a:noFill/>
                    </a:ln>
                  </pic:spPr>
                </pic:pic>
              </a:graphicData>
            </a:graphic>
          </wp:inline>
        </w:drawing>
      </w:r>
    </w:p>
    <w:p>
      <w:pPr>
        <w:tabs>
          <w:tab w:val="left" w:pos="0"/>
        </w:tabs>
        <w:spacing w:line="560" w:lineRule="exact"/>
        <w:ind w:right="560"/>
        <w:rPr>
          <w:rFonts w:ascii="宋体"/>
          <w:b/>
          <w:sz w:val="28"/>
          <w:szCs w:val="28"/>
        </w:rPr>
      </w:pPr>
      <w:r>
        <w:rPr>
          <w:rFonts w:hint="eastAsia" w:ascii="宋体"/>
          <w:b/>
          <w:sz w:val="28"/>
          <w:szCs w:val="28"/>
        </w:rPr>
        <w:t>2. 校园校舍面积统计表</w:t>
      </w:r>
    </w:p>
    <w:tbl>
      <w:tblPr>
        <w:tblStyle w:val="14"/>
        <w:tblW w:w="9299"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176"/>
        <w:gridCol w:w="221"/>
        <w:gridCol w:w="752"/>
        <w:gridCol w:w="803"/>
        <w:gridCol w:w="388"/>
        <w:gridCol w:w="1166"/>
        <w:gridCol w:w="149"/>
        <w:gridCol w:w="973"/>
        <w:gridCol w:w="433"/>
        <w:gridCol w:w="777"/>
        <w:gridCol w:w="778"/>
        <w:gridCol w:w="393"/>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555" w:hRule="atLeast"/>
        </w:trPr>
        <w:tc>
          <w:tcPr>
            <w:tcW w:w="9299" w:type="dxa"/>
            <w:gridSpan w:val="13"/>
            <w:tcBorders>
              <w:top w:val="single" w:color="auto" w:sz="4" w:space="0"/>
              <w:left w:val="single" w:color="auto" w:sz="4" w:space="0"/>
              <w:bottom w:val="single" w:color="auto" w:sz="4" w:space="0"/>
              <w:right w:val="single" w:color="auto" w:sz="4" w:space="0"/>
            </w:tcBorders>
            <w:vAlign w:val="center"/>
          </w:tcPr>
          <w:p>
            <w:pPr>
              <w:tabs>
                <w:tab w:val="left" w:pos="9135"/>
              </w:tabs>
              <w:spacing w:line="380" w:lineRule="exact"/>
              <w:jc w:val="left"/>
              <w:rPr>
                <w:rFonts w:ascii="宋体"/>
              </w:rPr>
            </w:pPr>
            <w:r>
              <w:rPr>
                <w:rFonts w:hint="eastAsia" w:ascii="宋体"/>
              </w:rPr>
              <w:t xml:space="preserve">1、校园面积79626   平方米，合120  亩，  生均面积  </w:t>
            </w:r>
            <w:r>
              <w:rPr>
                <w:rFonts w:ascii="宋体"/>
              </w:rPr>
              <w:t>56.9</w:t>
            </w:r>
            <w:r>
              <w:rPr>
                <w:rFonts w:hint="eastAsia" w:ascii="宋体"/>
              </w:rPr>
              <w:t xml:space="preserve"> 平方米；</w:t>
            </w:r>
          </w:p>
          <w:p>
            <w:pPr>
              <w:tabs>
                <w:tab w:val="left" w:pos="9135"/>
              </w:tabs>
              <w:spacing w:line="380" w:lineRule="exact"/>
              <w:jc w:val="left"/>
              <w:rPr>
                <w:rFonts w:ascii="宋体"/>
              </w:rPr>
            </w:pPr>
            <w:r>
              <w:rPr>
                <w:rFonts w:hint="eastAsia" w:ascii="宋体"/>
              </w:rPr>
              <w:t xml:space="preserve">2、校舍建筑面积48944   平方米，生均校舍建筑面积   </w:t>
            </w:r>
            <w:r>
              <w:rPr>
                <w:rFonts w:ascii="宋体"/>
              </w:rPr>
              <w:t>3</w:t>
            </w:r>
            <w:r>
              <w:rPr>
                <w:rFonts w:hint="eastAsia" w:ascii="宋体"/>
              </w:rPr>
              <w:t>5 平方米；</w:t>
            </w:r>
          </w:p>
          <w:p>
            <w:pPr>
              <w:tabs>
                <w:tab w:val="left" w:pos="9135"/>
              </w:tabs>
              <w:spacing w:line="380" w:lineRule="exact"/>
              <w:jc w:val="left"/>
              <w:rPr>
                <w:rFonts w:ascii="宋体"/>
              </w:rPr>
            </w:pPr>
            <w:r>
              <w:rPr>
                <w:rFonts w:hint="eastAsia" w:ascii="宋体"/>
              </w:rPr>
              <w:t>3、学生宿舍建筑面积9960 平方米，住宿生生均宿舍建筑面积 9.5  平方米；</w:t>
            </w:r>
          </w:p>
          <w:p>
            <w:pPr>
              <w:tabs>
                <w:tab w:val="left" w:pos="9135"/>
              </w:tabs>
              <w:spacing w:line="380" w:lineRule="exact"/>
              <w:jc w:val="left"/>
              <w:rPr>
                <w:rFonts w:ascii="宋体"/>
              </w:rPr>
            </w:pPr>
            <w:r>
              <w:rPr>
                <w:rFonts w:hint="eastAsia" w:ascii="宋体"/>
              </w:rPr>
              <w:t>4、跑道    400   米；篮球场   6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97" w:hRule="atLeast"/>
        </w:trPr>
        <w:tc>
          <w:tcPr>
            <w:tcW w:w="9299" w:type="dxa"/>
            <w:gridSpan w:val="13"/>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right="560"/>
              <w:jc w:val="center"/>
              <w:rPr>
                <w:rFonts w:ascii="宋体"/>
                <w:b/>
                <w:sz w:val="24"/>
                <w:szCs w:val="24"/>
              </w:rPr>
            </w:pPr>
            <w:r>
              <w:rPr>
                <w:rFonts w:hint="eastAsia" w:ascii="宋体"/>
                <w:sz w:val="24"/>
                <w:szCs w:val="24"/>
              </w:rPr>
              <w:t>教育教学用房面积（共 30590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98" w:hRule="atLeast"/>
        </w:trPr>
        <w:tc>
          <w:tcPr>
            <w:tcW w:w="1176" w:type="dxa"/>
            <w:tcBorders>
              <w:top w:val="single" w:color="auto" w:sz="4" w:space="0"/>
              <w:left w:val="single" w:color="auto" w:sz="4" w:space="0"/>
            </w:tcBorders>
            <w:vAlign w:val="center"/>
          </w:tcPr>
          <w:p>
            <w:pPr>
              <w:tabs>
                <w:tab w:val="left" w:pos="9135"/>
              </w:tabs>
              <w:jc w:val="center"/>
              <w:rPr>
                <w:rFonts w:ascii="宋体"/>
                <w:sz w:val="24"/>
                <w:szCs w:val="24"/>
              </w:rPr>
            </w:pPr>
            <w:r>
              <w:rPr>
                <w:rFonts w:hint="eastAsia" w:ascii="宋体"/>
                <w:sz w:val="24"/>
                <w:szCs w:val="24"/>
              </w:rPr>
              <w:t>名称</w:t>
            </w:r>
          </w:p>
        </w:tc>
        <w:tc>
          <w:tcPr>
            <w:tcW w:w="973" w:type="dxa"/>
            <w:gridSpan w:val="2"/>
            <w:tcBorders>
              <w:top w:val="single" w:color="auto" w:sz="4" w:space="0"/>
            </w:tcBorders>
            <w:vAlign w:val="center"/>
          </w:tcPr>
          <w:p>
            <w:pPr>
              <w:tabs>
                <w:tab w:val="left" w:pos="9135"/>
              </w:tabs>
              <w:jc w:val="center"/>
              <w:rPr>
                <w:rFonts w:ascii="宋体"/>
                <w:sz w:val="24"/>
                <w:szCs w:val="24"/>
              </w:rPr>
            </w:pPr>
            <w:r>
              <w:rPr>
                <w:rFonts w:hint="eastAsia" w:ascii="宋体"/>
                <w:sz w:val="24"/>
                <w:szCs w:val="24"/>
              </w:rPr>
              <w:t>数量</w:t>
            </w:r>
          </w:p>
        </w:tc>
        <w:tc>
          <w:tcPr>
            <w:tcW w:w="1191" w:type="dxa"/>
            <w:gridSpan w:val="2"/>
            <w:tcBorders>
              <w:top w:val="single" w:color="auto" w:sz="4" w:space="0"/>
              <w:right w:val="double" w:color="auto" w:sz="4" w:space="0"/>
            </w:tcBorders>
            <w:vAlign w:val="center"/>
          </w:tcPr>
          <w:p>
            <w:pPr>
              <w:tabs>
                <w:tab w:val="left" w:pos="9135"/>
              </w:tabs>
              <w:jc w:val="center"/>
              <w:rPr>
                <w:rFonts w:ascii="宋体"/>
                <w:sz w:val="24"/>
                <w:szCs w:val="24"/>
              </w:rPr>
            </w:pPr>
            <w:r>
              <w:rPr>
                <w:rFonts w:hint="eastAsia" w:ascii="宋体"/>
                <w:sz w:val="24"/>
                <w:szCs w:val="24"/>
              </w:rPr>
              <w:t>建筑面积</w:t>
            </w:r>
          </w:p>
        </w:tc>
        <w:tc>
          <w:tcPr>
            <w:tcW w:w="1315" w:type="dxa"/>
            <w:gridSpan w:val="2"/>
            <w:tcBorders>
              <w:top w:val="single" w:color="auto" w:sz="4" w:space="0"/>
              <w:left w:val="nil"/>
            </w:tcBorders>
            <w:vAlign w:val="center"/>
          </w:tcPr>
          <w:p>
            <w:pPr>
              <w:tabs>
                <w:tab w:val="left" w:pos="9135"/>
              </w:tabs>
              <w:jc w:val="center"/>
              <w:rPr>
                <w:rFonts w:ascii="宋体"/>
                <w:sz w:val="24"/>
                <w:szCs w:val="24"/>
              </w:rPr>
            </w:pPr>
            <w:r>
              <w:rPr>
                <w:rFonts w:hint="eastAsia" w:ascii="宋体"/>
                <w:sz w:val="24"/>
                <w:szCs w:val="24"/>
              </w:rPr>
              <w:t>名称</w:t>
            </w:r>
          </w:p>
        </w:tc>
        <w:tc>
          <w:tcPr>
            <w:tcW w:w="973" w:type="dxa"/>
            <w:tcBorders>
              <w:top w:val="single" w:color="auto" w:sz="4" w:space="0"/>
            </w:tcBorders>
            <w:vAlign w:val="center"/>
          </w:tcPr>
          <w:p>
            <w:pPr>
              <w:tabs>
                <w:tab w:val="left" w:pos="9135"/>
              </w:tabs>
              <w:jc w:val="center"/>
              <w:rPr>
                <w:rFonts w:ascii="宋体"/>
                <w:sz w:val="24"/>
                <w:szCs w:val="24"/>
              </w:rPr>
            </w:pPr>
            <w:r>
              <w:rPr>
                <w:rFonts w:hint="eastAsia" w:ascii="宋体"/>
                <w:sz w:val="24"/>
                <w:szCs w:val="24"/>
              </w:rPr>
              <w:t>数量</w:t>
            </w:r>
          </w:p>
        </w:tc>
        <w:tc>
          <w:tcPr>
            <w:tcW w:w="1210" w:type="dxa"/>
            <w:gridSpan w:val="2"/>
            <w:tcBorders>
              <w:top w:val="single" w:color="auto" w:sz="4" w:space="0"/>
              <w:right w:val="double" w:color="auto" w:sz="4" w:space="0"/>
            </w:tcBorders>
            <w:vAlign w:val="center"/>
          </w:tcPr>
          <w:p>
            <w:pPr>
              <w:tabs>
                <w:tab w:val="left" w:pos="9135"/>
              </w:tabs>
              <w:jc w:val="center"/>
              <w:rPr>
                <w:rFonts w:ascii="宋体"/>
                <w:sz w:val="24"/>
                <w:szCs w:val="24"/>
              </w:rPr>
            </w:pPr>
            <w:r>
              <w:rPr>
                <w:rFonts w:hint="eastAsia" w:ascii="宋体"/>
                <w:sz w:val="24"/>
                <w:szCs w:val="24"/>
              </w:rPr>
              <w:t>建筑面积</w:t>
            </w:r>
          </w:p>
        </w:tc>
        <w:tc>
          <w:tcPr>
            <w:tcW w:w="1171" w:type="dxa"/>
            <w:gridSpan w:val="2"/>
            <w:tcBorders>
              <w:top w:val="single" w:color="auto" w:sz="4" w:space="0"/>
              <w:left w:val="nil"/>
            </w:tcBorders>
            <w:vAlign w:val="center"/>
          </w:tcPr>
          <w:p>
            <w:pPr>
              <w:tabs>
                <w:tab w:val="left" w:pos="9135"/>
              </w:tabs>
              <w:jc w:val="center"/>
              <w:rPr>
                <w:rFonts w:ascii="宋体"/>
                <w:sz w:val="24"/>
                <w:szCs w:val="24"/>
              </w:rPr>
            </w:pPr>
            <w:r>
              <w:rPr>
                <w:rFonts w:hint="eastAsia" w:ascii="宋体"/>
                <w:sz w:val="24"/>
                <w:szCs w:val="24"/>
              </w:rPr>
              <w:t>名称</w:t>
            </w:r>
          </w:p>
        </w:tc>
        <w:tc>
          <w:tcPr>
            <w:tcW w:w="1290" w:type="dxa"/>
            <w:tcBorders>
              <w:top w:val="single" w:color="auto" w:sz="4" w:space="0"/>
              <w:right w:val="single" w:color="auto" w:sz="4" w:space="0"/>
            </w:tcBorders>
            <w:vAlign w:val="center"/>
          </w:tcPr>
          <w:p>
            <w:pPr>
              <w:tabs>
                <w:tab w:val="left" w:pos="9135"/>
              </w:tabs>
              <w:jc w:val="center"/>
              <w:rPr>
                <w:rFonts w:ascii="宋体"/>
                <w:sz w:val="24"/>
                <w:szCs w:val="24"/>
              </w:rPr>
            </w:pPr>
            <w:r>
              <w:rPr>
                <w:rFonts w:hint="eastAsia" w:ascii="宋体"/>
                <w:sz w:val="24"/>
                <w:szCs w:val="24"/>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98" w:hRule="atLeast"/>
        </w:trPr>
        <w:tc>
          <w:tcPr>
            <w:tcW w:w="1176" w:type="dxa"/>
            <w:tcBorders>
              <w:left w:val="single" w:color="auto" w:sz="4" w:space="0"/>
            </w:tcBorders>
            <w:vAlign w:val="center"/>
          </w:tcPr>
          <w:p>
            <w:pPr>
              <w:tabs>
                <w:tab w:val="left" w:pos="9135"/>
              </w:tabs>
              <w:jc w:val="center"/>
              <w:rPr>
                <w:rFonts w:ascii="宋体"/>
              </w:rPr>
            </w:pPr>
            <w:r>
              <w:rPr>
                <w:rFonts w:hint="eastAsia" w:ascii="宋体"/>
              </w:rPr>
              <w:t>普通教室</w:t>
            </w:r>
          </w:p>
        </w:tc>
        <w:tc>
          <w:tcPr>
            <w:tcW w:w="973" w:type="dxa"/>
            <w:gridSpan w:val="2"/>
            <w:vAlign w:val="center"/>
          </w:tcPr>
          <w:p>
            <w:pPr>
              <w:tabs>
                <w:tab w:val="left" w:pos="9135"/>
              </w:tabs>
              <w:jc w:val="center"/>
              <w:rPr>
                <w:rFonts w:ascii="宋体"/>
              </w:rPr>
            </w:pPr>
            <w:r>
              <w:rPr>
                <w:rFonts w:hint="eastAsia" w:ascii="宋体"/>
              </w:rPr>
              <w:t>38</w:t>
            </w:r>
          </w:p>
        </w:tc>
        <w:tc>
          <w:tcPr>
            <w:tcW w:w="1191" w:type="dxa"/>
            <w:gridSpan w:val="2"/>
            <w:tcBorders>
              <w:right w:val="double" w:color="auto" w:sz="4" w:space="0"/>
            </w:tcBorders>
            <w:vAlign w:val="center"/>
          </w:tcPr>
          <w:p>
            <w:pPr>
              <w:tabs>
                <w:tab w:val="left" w:pos="9135"/>
              </w:tabs>
              <w:jc w:val="center"/>
              <w:rPr>
                <w:rFonts w:ascii="宋体"/>
              </w:rPr>
            </w:pPr>
            <w:r>
              <w:rPr>
                <w:rFonts w:hint="eastAsia" w:ascii="宋体"/>
              </w:rPr>
              <w:t>4580</w:t>
            </w:r>
          </w:p>
        </w:tc>
        <w:tc>
          <w:tcPr>
            <w:tcW w:w="1315" w:type="dxa"/>
            <w:gridSpan w:val="2"/>
            <w:tcBorders>
              <w:left w:val="nil"/>
            </w:tcBorders>
            <w:vAlign w:val="center"/>
          </w:tcPr>
          <w:p>
            <w:pPr>
              <w:tabs>
                <w:tab w:val="left" w:pos="9135"/>
              </w:tabs>
              <w:jc w:val="center"/>
              <w:rPr>
                <w:rFonts w:ascii="宋体"/>
              </w:rPr>
            </w:pPr>
            <w:r>
              <w:rPr>
                <w:rFonts w:hint="eastAsia" w:ascii="宋体"/>
              </w:rPr>
              <w:t>微机室</w:t>
            </w:r>
          </w:p>
        </w:tc>
        <w:tc>
          <w:tcPr>
            <w:tcW w:w="973" w:type="dxa"/>
            <w:vAlign w:val="center"/>
          </w:tcPr>
          <w:p>
            <w:pPr>
              <w:tabs>
                <w:tab w:val="left" w:pos="9135"/>
              </w:tabs>
              <w:jc w:val="center"/>
              <w:rPr>
                <w:rFonts w:ascii="宋体"/>
              </w:rPr>
            </w:pPr>
            <w:r>
              <w:rPr>
                <w:rFonts w:hint="eastAsia" w:ascii="宋体"/>
              </w:rPr>
              <w:t>4</w:t>
            </w:r>
          </w:p>
        </w:tc>
        <w:tc>
          <w:tcPr>
            <w:tcW w:w="1210" w:type="dxa"/>
            <w:gridSpan w:val="2"/>
            <w:tcBorders>
              <w:right w:val="double" w:color="auto" w:sz="4" w:space="0"/>
            </w:tcBorders>
            <w:vAlign w:val="center"/>
          </w:tcPr>
          <w:p>
            <w:pPr>
              <w:tabs>
                <w:tab w:val="left" w:pos="9135"/>
              </w:tabs>
              <w:jc w:val="center"/>
              <w:rPr>
                <w:rFonts w:ascii="宋体"/>
              </w:rPr>
            </w:pPr>
            <w:r>
              <w:rPr>
                <w:rFonts w:hint="eastAsia" w:ascii="宋体"/>
              </w:rPr>
              <w:t>408</w:t>
            </w:r>
          </w:p>
        </w:tc>
        <w:tc>
          <w:tcPr>
            <w:tcW w:w="1171" w:type="dxa"/>
            <w:gridSpan w:val="2"/>
            <w:tcBorders>
              <w:left w:val="nil"/>
            </w:tcBorders>
            <w:vAlign w:val="center"/>
          </w:tcPr>
          <w:p>
            <w:pPr>
              <w:tabs>
                <w:tab w:val="left" w:pos="9135"/>
              </w:tabs>
              <w:jc w:val="center"/>
              <w:rPr>
                <w:rFonts w:ascii="宋体"/>
              </w:rPr>
            </w:pPr>
            <w:r>
              <w:rPr>
                <w:rFonts w:hint="eastAsia" w:ascii="宋体"/>
              </w:rPr>
              <w:t>行政办公</w:t>
            </w:r>
          </w:p>
          <w:p>
            <w:pPr>
              <w:tabs>
                <w:tab w:val="left" w:pos="9135"/>
              </w:tabs>
              <w:jc w:val="center"/>
              <w:rPr>
                <w:rFonts w:ascii="宋体"/>
              </w:rPr>
            </w:pPr>
            <w:r>
              <w:rPr>
                <w:rFonts w:hint="eastAsia" w:ascii="宋体"/>
              </w:rPr>
              <w:t>用房</w:t>
            </w:r>
          </w:p>
        </w:tc>
        <w:tc>
          <w:tcPr>
            <w:tcW w:w="1290" w:type="dxa"/>
            <w:tcBorders>
              <w:right w:val="single" w:color="auto" w:sz="4" w:space="0"/>
            </w:tcBorders>
            <w:vAlign w:val="center"/>
          </w:tcPr>
          <w:p>
            <w:pPr>
              <w:tabs>
                <w:tab w:val="left" w:pos="9135"/>
              </w:tabs>
              <w:jc w:val="center"/>
              <w:rPr>
                <w:rFonts w:ascii="宋体"/>
              </w:rPr>
            </w:pPr>
            <w:r>
              <w:rPr>
                <w:rFonts w:hint="eastAsia" w:ascii="宋体"/>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97" w:hRule="atLeast"/>
        </w:trPr>
        <w:tc>
          <w:tcPr>
            <w:tcW w:w="1176" w:type="dxa"/>
            <w:tcBorders>
              <w:left w:val="single" w:color="auto" w:sz="4" w:space="0"/>
            </w:tcBorders>
            <w:vAlign w:val="center"/>
          </w:tcPr>
          <w:p>
            <w:pPr>
              <w:tabs>
                <w:tab w:val="left" w:pos="9135"/>
              </w:tabs>
              <w:jc w:val="center"/>
              <w:rPr>
                <w:rFonts w:ascii="宋体"/>
              </w:rPr>
            </w:pPr>
            <w:r>
              <w:rPr>
                <w:rFonts w:hint="eastAsia" w:ascii="宋体"/>
              </w:rPr>
              <w:t>物理实验室</w:t>
            </w:r>
          </w:p>
        </w:tc>
        <w:tc>
          <w:tcPr>
            <w:tcW w:w="973" w:type="dxa"/>
            <w:gridSpan w:val="2"/>
            <w:vAlign w:val="center"/>
          </w:tcPr>
          <w:p>
            <w:pPr>
              <w:tabs>
                <w:tab w:val="left" w:pos="9135"/>
              </w:tabs>
              <w:jc w:val="center"/>
              <w:rPr>
                <w:rFonts w:ascii="宋体"/>
              </w:rPr>
            </w:pPr>
            <w:r>
              <w:rPr>
                <w:rFonts w:hint="eastAsia" w:ascii="宋体"/>
              </w:rPr>
              <w:t>4</w:t>
            </w:r>
          </w:p>
        </w:tc>
        <w:tc>
          <w:tcPr>
            <w:tcW w:w="1191" w:type="dxa"/>
            <w:gridSpan w:val="2"/>
            <w:tcBorders>
              <w:right w:val="double" w:color="auto" w:sz="4" w:space="0"/>
            </w:tcBorders>
            <w:vAlign w:val="center"/>
          </w:tcPr>
          <w:p>
            <w:pPr>
              <w:tabs>
                <w:tab w:val="left" w:pos="9135"/>
              </w:tabs>
              <w:jc w:val="center"/>
              <w:rPr>
                <w:rFonts w:ascii="宋体"/>
              </w:rPr>
            </w:pPr>
            <w:r>
              <w:rPr>
                <w:rFonts w:hint="eastAsia" w:ascii="宋体"/>
              </w:rPr>
              <w:t>360</w:t>
            </w:r>
          </w:p>
        </w:tc>
        <w:tc>
          <w:tcPr>
            <w:tcW w:w="1315" w:type="dxa"/>
            <w:gridSpan w:val="2"/>
            <w:tcBorders>
              <w:left w:val="nil"/>
            </w:tcBorders>
            <w:vAlign w:val="center"/>
          </w:tcPr>
          <w:p>
            <w:pPr>
              <w:tabs>
                <w:tab w:val="left" w:pos="9135"/>
              </w:tabs>
              <w:jc w:val="center"/>
              <w:rPr>
                <w:rFonts w:ascii="宋体"/>
              </w:rPr>
            </w:pPr>
            <w:r>
              <w:rPr>
                <w:rFonts w:hint="eastAsia" w:ascii="宋体"/>
              </w:rPr>
              <w:t>通用技术室</w:t>
            </w:r>
          </w:p>
        </w:tc>
        <w:tc>
          <w:tcPr>
            <w:tcW w:w="973" w:type="dxa"/>
            <w:vAlign w:val="center"/>
          </w:tcPr>
          <w:p>
            <w:pPr>
              <w:tabs>
                <w:tab w:val="left" w:pos="9135"/>
              </w:tabs>
              <w:jc w:val="center"/>
              <w:rPr>
                <w:rFonts w:ascii="宋体"/>
              </w:rPr>
            </w:pPr>
            <w:r>
              <w:rPr>
                <w:rFonts w:hint="eastAsia" w:ascii="宋体"/>
              </w:rPr>
              <w:t>3</w:t>
            </w:r>
          </w:p>
        </w:tc>
        <w:tc>
          <w:tcPr>
            <w:tcW w:w="1210" w:type="dxa"/>
            <w:gridSpan w:val="2"/>
            <w:tcBorders>
              <w:right w:val="double" w:color="auto" w:sz="4" w:space="0"/>
            </w:tcBorders>
            <w:vAlign w:val="center"/>
          </w:tcPr>
          <w:p>
            <w:pPr>
              <w:tabs>
                <w:tab w:val="left" w:pos="9135"/>
              </w:tabs>
              <w:jc w:val="center"/>
              <w:rPr>
                <w:rFonts w:ascii="宋体"/>
              </w:rPr>
            </w:pPr>
            <w:r>
              <w:rPr>
                <w:rFonts w:hint="eastAsia" w:ascii="宋体"/>
              </w:rPr>
              <w:t>276</w:t>
            </w:r>
          </w:p>
        </w:tc>
        <w:tc>
          <w:tcPr>
            <w:tcW w:w="1171" w:type="dxa"/>
            <w:gridSpan w:val="2"/>
            <w:tcBorders>
              <w:left w:val="nil"/>
            </w:tcBorders>
            <w:vAlign w:val="center"/>
          </w:tcPr>
          <w:p>
            <w:pPr>
              <w:tabs>
                <w:tab w:val="left" w:pos="9135"/>
              </w:tabs>
              <w:jc w:val="center"/>
              <w:rPr>
                <w:rFonts w:ascii="宋体"/>
              </w:rPr>
            </w:pPr>
            <w:r>
              <w:rPr>
                <w:rFonts w:hint="eastAsia" w:ascii="宋体"/>
              </w:rPr>
              <w:t>教师办公</w:t>
            </w:r>
          </w:p>
          <w:p>
            <w:pPr>
              <w:tabs>
                <w:tab w:val="left" w:pos="9135"/>
              </w:tabs>
              <w:jc w:val="center"/>
              <w:rPr>
                <w:rFonts w:ascii="宋体"/>
              </w:rPr>
            </w:pPr>
            <w:r>
              <w:rPr>
                <w:rFonts w:hint="eastAsia" w:ascii="宋体"/>
              </w:rPr>
              <w:t>用房</w:t>
            </w:r>
          </w:p>
        </w:tc>
        <w:tc>
          <w:tcPr>
            <w:tcW w:w="1290" w:type="dxa"/>
            <w:tcBorders>
              <w:right w:val="single" w:color="auto" w:sz="4" w:space="0"/>
            </w:tcBorders>
            <w:vAlign w:val="center"/>
          </w:tcPr>
          <w:p>
            <w:pPr>
              <w:tabs>
                <w:tab w:val="left" w:pos="9135"/>
              </w:tabs>
              <w:jc w:val="center"/>
              <w:rPr>
                <w:rFonts w:ascii="宋体"/>
              </w:rPr>
            </w:pPr>
            <w:r>
              <w:rPr>
                <w:rFonts w:hint="eastAsia" w:ascii="宋体"/>
              </w:rPr>
              <w:t>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98" w:hRule="atLeast"/>
        </w:trPr>
        <w:tc>
          <w:tcPr>
            <w:tcW w:w="1176" w:type="dxa"/>
            <w:tcBorders>
              <w:left w:val="single" w:color="auto" w:sz="4" w:space="0"/>
            </w:tcBorders>
            <w:vAlign w:val="center"/>
          </w:tcPr>
          <w:p>
            <w:pPr>
              <w:tabs>
                <w:tab w:val="left" w:pos="9135"/>
              </w:tabs>
              <w:jc w:val="center"/>
              <w:rPr>
                <w:rFonts w:ascii="宋体"/>
              </w:rPr>
            </w:pPr>
            <w:r>
              <w:rPr>
                <w:rFonts w:hint="eastAsia" w:ascii="宋体"/>
              </w:rPr>
              <w:t>化学实验室</w:t>
            </w:r>
          </w:p>
        </w:tc>
        <w:tc>
          <w:tcPr>
            <w:tcW w:w="973" w:type="dxa"/>
            <w:gridSpan w:val="2"/>
            <w:vAlign w:val="center"/>
          </w:tcPr>
          <w:p>
            <w:pPr>
              <w:tabs>
                <w:tab w:val="left" w:pos="9135"/>
              </w:tabs>
              <w:jc w:val="center"/>
              <w:rPr>
                <w:rFonts w:ascii="宋体"/>
              </w:rPr>
            </w:pPr>
            <w:r>
              <w:rPr>
                <w:rFonts w:hint="eastAsia" w:ascii="宋体"/>
              </w:rPr>
              <w:t>4</w:t>
            </w:r>
          </w:p>
        </w:tc>
        <w:tc>
          <w:tcPr>
            <w:tcW w:w="1191" w:type="dxa"/>
            <w:gridSpan w:val="2"/>
            <w:tcBorders>
              <w:right w:val="double" w:color="auto" w:sz="4" w:space="0"/>
            </w:tcBorders>
            <w:vAlign w:val="center"/>
          </w:tcPr>
          <w:p>
            <w:pPr>
              <w:tabs>
                <w:tab w:val="left" w:pos="9135"/>
              </w:tabs>
              <w:jc w:val="center"/>
              <w:rPr>
                <w:rFonts w:ascii="宋体"/>
              </w:rPr>
            </w:pPr>
            <w:r>
              <w:rPr>
                <w:rFonts w:hint="eastAsia" w:ascii="宋体"/>
              </w:rPr>
              <w:t>360</w:t>
            </w:r>
          </w:p>
        </w:tc>
        <w:tc>
          <w:tcPr>
            <w:tcW w:w="1315" w:type="dxa"/>
            <w:gridSpan w:val="2"/>
            <w:tcBorders>
              <w:left w:val="nil"/>
            </w:tcBorders>
            <w:vAlign w:val="center"/>
          </w:tcPr>
          <w:p>
            <w:pPr>
              <w:tabs>
                <w:tab w:val="left" w:pos="9135"/>
              </w:tabs>
              <w:jc w:val="center"/>
              <w:rPr>
                <w:rFonts w:ascii="宋体"/>
              </w:rPr>
            </w:pPr>
            <w:r>
              <w:rPr>
                <w:rFonts w:hint="eastAsia" w:ascii="宋体"/>
              </w:rPr>
              <w:t>演播厅</w:t>
            </w:r>
          </w:p>
        </w:tc>
        <w:tc>
          <w:tcPr>
            <w:tcW w:w="973" w:type="dxa"/>
            <w:vAlign w:val="center"/>
          </w:tcPr>
          <w:p>
            <w:pPr>
              <w:tabs>
                <w:tab w:val="left" w:pos="9135"/>
              </w:tabs>
              <w:jc w:val="center"/>
              <w:rPr>
                <w:rFonts w:ascii="宋体"/>
              </w:rPr>
            </w:pPr>
            <w:r>
              <w:rPr>
                <w:rFonts w:hint="eastAsia" w:ascii="宋体"/>
              </w:rPr>
              <w:t>1</w:t>
            </w:r>
          </w:p>
        </w:tc>
        <w:tc>
          <w:tcPr>
            <w:tcW w:w="1210" w:type="dxa"/>
            <w:gridSpan w:val="2"/>
            <w:tcBorders>
              <w:right w:val="double" w:color="auto" w:sz="4" w:space="0"/>
            </w:tcBorders>
            <w:vAlign w:val="center"/>
          </w:tcPr>
          <w:p>
            <w:pPr>
              <w:tabs>
                <w:tab w:val="left" w:pos="9135"/>
              </w:tabs>
              <w:jc w:val="center"/>
              <w:rPr>
                <w:rFonts w:ascii="宋体"/>
              </w:rPr>
            </w:pPr>
            <w:r>
              <w:rPr>
                <w:rFonts w:hint="eastAsia" w:ascii="宋体"/>
              </w:rPr>
              <w:t>490</w:t>
            </w:r>
          </w:p>
        </w:tc>
        <w:tc>
          <w:tcPr>
            <w:tcW w:w="1171" w:type="dxa"/>
            <w:gridSpan w:val="2"/>
            <w:tcBorders>
              <w:left w:val="nil"/>
            </w:tcBorders>
            <w:vAlign w:val="center"/>
          </w:tcPr>
          <w:p>
            <w:pPr>
              <w:tabs>
                <w:tab w:val="left" w:pos="9135"/>
              </w:tabs>
              <w:jc w:val="center"/>
              <w:rPr>
                <w:rFonts w:ascii="宋体"/>
              </w:rPr>
            </w:pPr>
            <w:r>
              <w:rPr>
                <w:rFonts w:hint="eastAsia" w:ascii="宋体"/>
              </w:rPr>
              <w:t>录播室</w:t>
            </w:r>
          </w:p>
        </w:tc>
        <w:tc>
          <w:tcPr>
            <w:tcW w:w="1290" w:type="dxa"/>
            <w:tcBorders>
              <w:right w:val="single" w:color="auto" w:sz="4" w:space="0"/>
            </w:tcBorders>
            <w:vAlign w:val="center"/>
          </w:tcPr>
          <w:p>
            <w:pPr>
              <w:tabs>
                <w:tab w:val="left" w:pos="9135"/>
              </w:tabs>
              <w:jc w:val="center"/>
              <w:rPr>
                <w:rFonts w:ascii="宋体"/>
                <w:highlight w:val="yellow"/>
              </w:rPr>
            </w:pPr>
            <w:r>
              <w:rPr>
                <w:rFonts w:hint="eastAsia" w:ascii="宋体"/>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98" w:hRule="atLeast"/>
        </w:trPr>
        <w:tc>
          <w:tcPr>
            <w:tcW w:w="1176" w:type="dxa"/>
            <w:tcBorders>
              <w:left w:val="single" w:color="auto" w:sz="4" w:space="0"/>
              <w:bottom w:val="single" w:color="auto" w:sz="2" w:space="0"/>
            </w:tcBorders>
            <w:vAlign w:val="center"/>
          </w:tcPr>
          <w:p>
            <w:pPr>
              <w:tabs>
                <w:tab w:val="left" w:pos="9135"/>
              </w:tabs>
              <w:jc w:val="center"/>
              <w:rPr>
                <w:rFonts w:ascii="宋体"/>
              </w:rPr>
            </w:pPr>
            <w:r>
              <w:rPr>
                <w:rFonts w:hint="eastAsia" w:ascii="宋体"/>
              </w:rPr>
              <w:t>生物实验室</w:t>
            </w:r>
          </w:p>
        </w:tc>
        <w:tc>
          <w:tcPr>
            <w:tcW w:w="973" w:type="dxa"/>
            <w:gridSpan w:val="2"/>
            <w:tcBorders>
              <w:bottom w:val="single" w:color="auto" w:sz="2" w:space="0"/>
            </w:tcBorders>
            <w:vAlign w:val="center"/>
          </w:tcPr>
          <w:p>
            <w:pPr>
              <w:tabs>
                <w:tab w:val="left" w:pos="9135"/>
              </w:tabs>
              <w:jc w:val="center"/>
              <w:rPr>
                <w:rFonts w:ascii="宋体"/>
              </w:rPr>
            </w:pPr>
            <w:r>
              <w:rPr>
                <w:rFonts w:hint="eastAsia" w:ascii="宋体"/>
              </w:rPr>
              <w:t>3</w:t>
            </w:r>
          </w:p>
        </w:tc>
        <w:tc>
          <w:tcPr>
            <w:tcW w:w="1191" w:type="dxa"/>
            <w:gridSpan w:val="2"/>
            <w:tcBorders>
              <w:bottom w:val="single" w:color="auto" w:sz="2" w:space="0"/>
              <w:right w:val="double" w:color="auto" w:sz="4" w:space="0"/>
            </w:tcBorders>
            <w:vAlign w:val="center"/>
          </w:tcPr>
          <w:p>
            <w:pPr>
              <w:tabs>
                <w:tab w:val="left" w:pos="9135"/>
              </w:tabs>
              <w:jc w:val="center"/>
              <w:rPr>
                <w:rFonts w:ascii="宋体"/>
              </w:rPr>
            </w:pPr>
            <w:r>
              <w:rPr>
                <w:rFonts w:hint="eastAsia" w:ascii="宋体"/>
              </w:rPr>
              <w:t>270</w:t>
            </w:r>
          </w:p>
        </w:tc>
        <w:tc>
          <w:tcPr>
            <w:tcW w:w="1315" w:type="dxa"/>
            <w:gridSpan w:val="2"/>
            <w:tcBorders>
              <w:left w:val="nil"/>
              <w:bottom w:val="single" w:color="auto" w:sz="2" w:space="0"/>
            </w:tcBorders>
            <w:vAlign w:val="center"/>
          </w:tcPr>
          <w:p>
            <w:pPr>
              <w:tabs>
                <w:tab w:val="left" w:pos="9135"/>
              </w:tabs>
              <w:jc w:val="center"/>
              <w:rPr>
                <w:rFonts w:ascii="宋体"/>
              </w:rPr>
            </w:pPr>
            <w:r>
              <w:rPr>
                <w:rFonts w:hint="eastAsia" w:ascii="宋体"/>
              </w:rPr>
              <w:t>报告厅</w:t>
            </w:r>
          </w:p>
        </w:tc>
        <w:tc>
          <w:tcPr>
            <w:tcW w:w="973" w:type="dxa"/>
            <w:tcBorders>
              <w:bottom w:val="single" w:color="auto" w:sz="2" w:space="0"/>
            </w:tcBorders>
            <w:vAlign w:val="center"/>
          </w:tcPr>
          <w:p>
            <w:pPr>
              <w:tabs>
                <w:tab w:val="left" w:pos="9135"/>
              </w:tabs>
              <w:jc w:val="center"/>
              <w:rPr>
                <w:rFonts w:ascii="宋体"/>
              </w:rPr>
            </w:pPr>
            <w:r>
              <w:rPr>
                <w:rFonts w:hint="eastAsia" w:ascii="宋体"/>
              </w:rPr>
              <w:t>1</w:t>
            </w:r>
          </w:p>
        </w:tc>
        <w:tc>
          <w:tcPr>
            <w:tcW w:w="1210" w:type="dxa"/>
            <w:gridSpan w:val="2"/>
            <w:tcBorders>
              <w:bottom w:val="single" w:color="auto" w:sz="2" w:space="0"/>
              <w:right w:val="double" w:color="auto" w:sz="4" w:space="0"/>
            </w:tcBorders>
            <w:vAlign w:val="center"/>
          </w:tcPr>
          <w:p>
            <w:pPr>
              <w:tabs>
                <w:tab w:val="left" w:pos="9135"/>
              </w:tabs>
              <w:jc w:val="center"/>
              <w:rPr>
                <w:rFonts w:ascii="宋体"/>
              </w:rPr>
            </w:pPr>
            <w:r>
              <w:rPr>
                <w:rFonts w:hint="eastAsia" w:ascii="宋体"/>
              </w:rPr>
              <w:t>400</w:t>
            </w:r>
          </w:p>
        </w:tc>
        <w:tc>
          <w:tcPr>
            <w:tcW w:w="1171" w:type="dxa"/>
            <w:gridSpan w:val="2"/>
            <w:tcBorders>
              <w:left w:val="nil"/>
              <w:bottom w:val="single" w:color="auto" w:sz="2" w:space="0"/>
            </w:tcBorders>
            <w:vAlign w:val="center"/>
          </w:tcPr>
          <w:p>
            <w:pPr>
              <w:tabs>
                <w:tab w:val="left" w:pos="9135"/>
              </w:tabs>
              <w:jc w:val="center"/>
              <w:rPr>
                <w:rFonts w:ascii="宋体"/>
              </w:rPr>
            </w:pPr>
            <w:r>
              <w:rPr>
                <w:rFonts w:hint="eastAsia" w:ascii="宋体"/>
              </w:rPr>
              <w:t>书法室</w:t>
            </w:r>
          </w:p>
        </w:tc>
        <w:tc>
          <w:tcPr>
            <w:tcW w:w="1290" w:type="dxa"/>
            <w:tcBorders>
              <w:bottom w:val="single" w:color="auto" w:sz="2" w:space="0"/>
              <w:right w:val="single" w:color="auto" w:sz="4" w:space="0"/>
            </w:tcBorders>
            <w:vAlign w:val="center"/>
          </w:tcPr>
          <w:p>
            <w:pPr>
              <w:tabs>
                <w:tab w:val="left" w:pos="9135"/>
              </w:tabs>
              <w:jc w:val="center"/>
              <w:rPr>
                <w:rFonts w:ascii="宋体"/>
                <w:highlight w:val="yellow"/>
              </w:rPr>
            </w:pPr>
            <w:r>
              <w:rPr>
                <w:rFonts w:hint="eastAsia" w:ascii="宋体"/>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98" w:hRule="atLeast"/>
        </w:trPr>
        <w:tc>
          <w:tcPr>
            <w:tcW w:w="1176" w:type="dxa"/>
            <w:tcBorders>
              <w:top w:val="single" w:color="auto" w:sz="2" w:space="0"/>
              <w:left w:val="single" w:color="auto" w:sz="4" w:space="0"/>
            </w:tcBorders>
            <w:vAlign w:val="center"/>
          </w:tcPr>
          <w:p>
            <w:pPr>
              <w:tabs>
                <w:tab w:val="left" w:pos="9135"/>
              </w:tabs>
              <w:jc w:val="center"/>
              <w:rPr>
                <w:rFonts w:ascii="宋体"/>
              </w:rPr>
            </w:pPr>
            <w:r>
              <w:rPr>
                <w:rFonts w:hint="eastAsia" w:ascii="宋体"/>
              </w:rPr>
              <w:t>图书馆</w:t>
            </w:r>
          </w:p>
        </w:tc>
        <w:tc>
          <w:tcPr>
            <w:tcW w:w="973" w:type="dxa"/>
            <w:gridSpan w:val="2"/>
            <w:tcBorders>
              <w:top w:val="single" w:color="auto" w:sz="2" w:space="0"/>
            </w:tcBorders>
            <w:vAlign w:val="center"/>
          </w:tcPr>
          <w:p>
            <w:pPr>
              <w:tabs>
                <w:tab w:val="left" w:pos="9135"/>
              </w:tabs>
              <w:jc w:val="center"/>
              <w:rPr>
                <w:rFonts w:ascii="宋体"/>
              </w:rPr>
            </w:pPr>
            <w:r>
              <w:rPr>
                <w:rFonts w:hint="eastAsia" w:ascii="宋体"/>
              </w:rPr>
              <w:t>1</w:t>
            </w:r>
          </w:p>
        </w:tc>
        <w:tc>
          <w:tcPr>
            <w:tcW w:w="1191" w:type="dxa"/>
            <w:gridSpan w:val="2"/>
            <w:tcBorders>
              <w:top w:val="single" w:color="auto" w:sz="2" w:space="0"/>
              <w:right w:val="double" w:color="auto" w:sz="4" w:space="0"/>
            </w:tcBorders>
            <w:vAlign w:val="center"/>
          </w:tcPr>
          <w:p>
            <w:pPr>
              <w:tabs>
                <w:tab w:val="left" w:pos="9135"/>
              </w:tabs>
              <w:jc w:val="center"/>
              <w:rPr>
                <w:rFonts w:ascii="宋体"/>
              </w:rPr>
            </w:pPr>
            <w:r>
              <w:rPr>
                <w:rFonts w:hint="eastAsia" w:ascii="宋体"/>
              </w:rPr>
              <w:t>2800</w:t>
            </w:r>
          </w:p>
        </w:tc>
        <w:tc>
          <w:tcPr>
            <w:tcW w:w="1315" w:type="dxa"/>
            <w:gridSpan w:val="2"/>
            <w:tcBorders>
              <w:top w:val="single" w:color="auto" w:sz="2" w:space="0"/>
              <w:left w:val="nil"/>
            </w:tcBorders>
            <w:vAlign w:val="center"/>
          </w:tcPr>
          <w:p>
            <w:pPr>
              <w:tabs>
                <w:tab w:val="left" w:pos="9135"/>
              </w:tabs>
              <w:jc w:val="center"/>
              <w:rPr>
                <w:rFonts w:ascii="宋体"/>
              </w:rPr>
            </w:pPr>
            <w:r>
              <w:rPr>
                <w:rFonts w:hint="eastAsia" w:ascii="宋体"/>
              </w:rPr>
              <w:t>体育馆</w:t>
            </w:r>
          </w:p>
        </w:tc>
        <w:tc>
          <w:tcPr>
            <w:tcW w:w="973" w:type="dxa"/>
            <w:tcBorders>
              <w:top w:val="single" w:color="auto" w:sz="2" w:space="0"/>
            </w:tcBorders>
            <w:vAlign w:val="center"/>
          </w:tcPr>
          <w:p>
            <w:pPr>
              <w:tabs>
                <w:tab w:val="left" w:pos="9135"/>
              </w:tabs>
              <w:jc w:val="center"/>
              <w:rPr>
                <w:rFonts w:ascii="宋体"/>
              </w:rPr>
            </w:pPr>
            <w:r>
              <w:rPr>
                <w:rFonts w:hint="eastAsia" w:ascii="宋体"/>
              </w:rPr>
              <w:t>2</w:t>
            </w:r>
          </w:p>
        </w:tc>
        <w:tc>
          <w:tcPr>
            <w:tcW w:w="1210" w:type="dxa"/>
            <w:gridSpan w:val="2"/>
            <w:tcBorders>
              <w:top w:val="single" w:color="auto" w:sz="2" w:space="0"/>
              <w:right w:val="double" w:color="auto" w:sz="4" w:space="0"/>
            </w:tcBorders>
            <w:vAlign w:val="center"/>
          </w:tcPr>
          <w:p>
            <w:pPr>
              <w:tabs>
                <w:tab w:val="left" w:pos="9135"/>
              </w:tabs>
              <w:jc w:val="center"/>
              <w:rPr>
                <w:rFonts w:ascii="宋体"/>
              </w:rPr>
            </w:pPr>
            <w:r>
              <w:rPr>
                <w:rFonts w:hint="eastAsia" w:ascii="宋体"/>
              </w:rPr>
              <w:t>8250</w:t>
            </w:r>
          </w:p>
        </w:tc>
        <w:tc>
          <w:tcPr>
            <w:tcW w:w="1171" w:type="dxa"/>
            <w:gridSpan w:val="2"/>
            <w:tcBorders>
              <w:top w:val="single" w:color="auto" w:sz="2" w:space="0"/>
              <w:left w:val="nil"/>
            </w:tcBorders>
            <w:vAlign w:val="center"/>
          </w:tcPr>
          <w:p>
            <w:pPr>
              <w:tabs>
                <w:tab w:val="left" w:pos="9135"/>
              </w:tabs>
              <w:jc w:val="center"/>
              <w:rPr>
                <w:rFonts w:ascii="宋体"/>
              </w:rPr>
            </w:pPr>
            <w:r>
              <w:rPr>
                <w:rFonts w:hint="eastAsia" w:ascii="宋体"/>
              </w:rPr>
              <w:t>国画室</w:t>
            </w:r>
          </w:p>
        </w:tc>
        <w:tc>
          <w:tcPr>
            <w:tcW w:w="1290" w:type="dxa"/>
            <w:tcBorders>
              <w:top w:val="single" w:color="auto" w:sz="2" w:space="0"/>
              <w:right w:val="single" w:color="auto" w:sz="4" w:space="0"/>
            </w:tcBorders>
            <w:vAlign w:val="center"/>
          </w:tcPr>
          <w:p>
            <w:pPr>
              <w:tabs>
                <w:tab w:val="left" w:pos="9135"/>
              </w:tabs>
              <w:jc w:val="center"/>
              <w:rPr>
                <w:rFonts w:ascii="宋体"/>
                <w:highlight w:val="yellow"/>
              </w:rPr>
            </w:pPr>
            <w:r>
              <w:rPr>
                <w:rFonts w:hint="eastAsia" w:ascii="宋体"/>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97" w:hRule="atLeast"/>
        </w:trPr>
        <w:tc>
          <w:tcPr>
            <w:tcW w:w="1176" w:type="dxa"/>
            <w:tcBorders>
              <w:left w:val="single" w:color="auto" w:sz="4" w:space="0"/>
              <w:bottom w:val="single" w:color="auto" w:sz="2" w:space="0"/>
            </w:tcBorders>
            <w:vAlign w:val="center"/>
          </w:tcPr>
          <w:p>
            <w:pPr>
              <w:tabs>
                <w:tab w:val="left" w:pos="9135"/>
              </w:tabs>
              <w:jc w:val="center"/>
              <w:rPr>
                <w:rFonts w:ascii="宋体"/>
              </w:rPr>
            </w:pPr>
            <w:r>
              <w:rPr>
                <w:rFonts w:hint="eastAsia" w:ascii="宋体"/>
              </w:rPr>
              <w:t>电子阅览室</w:t>
            </w:r>
          </w:p>
        </w:tc>
        <w:tc>
          <w:tcPr>
            <w:tcW w:w="973" w:type="dxa"/>
            <w:gridSpan w:val="2"/>
            <w:tcBorders>
              <w:bottom w:val="single" w:color="auto" w:sz="2" w:space="0"/>
            </w:tcBorders>
            <w:vAlign w:val="center"/>
          </w:tcPr>
          <w:p>
            <w:pPr>
              <w:tabs>
                <w:tab w:val="left" w:pos="9135"/>
              </w:tabs>
              <w:jc w:val="center"/>
              <w:rPr>
                <w:rFonts w:ascii="宋体"/>
              </w:rPr>
            </w:pPr>
            <w:r>
              <w:rPr>
                <w:rFonts w:hint="eastAsia" w:ascii="宋体"/>
              </w:rPr>
              <w:t>1</w:t>
            </w:r>
          </w:p>
        </w:tc>
        <w:tc>
          <w:tcPr>
            <w:tcW w:w="1191" w:type="dxa"/>
            <w:gridSpan w:val="2"/>
            <w:tcBorders>
              <w:bottom w:val="single" w:color="auto" w:sz="2" w:space="0"/>
              <w:right w:val="double" w:color="auto" w:sz="4" w:space="0"/>
            </w:tcBorders>
            <w:vAlign w:val="center"/>
          </w:tcPr>
          <w:p>
            <w:pPr>
              <w:tabs>
                <w:tab w:val="left" w:pos="9135"/>
              </w:tabs>
              <w:jc w:val="center"/>
              <w:rPr>
                <w:rFonts w:ascii="宋体"/>
              </w:rPr>
            </w:pPr>
            <w:r>
              <w:rPr>
                <w:rFonts w:hint="eastAsia" w:ascii="宋体"/>
              </w:rPr>
              <w:t>123</w:t>
            </w:r>
          </w:p>
        </w:tc>
        <w:tc>
          <w:tcPr>
            <w:tcW w:w="1315" w:type="dxa"/>
            <w:gridSpan w:val="2"/>
            <w:tcBorders>
              <w:left w:val="nil"/>
              <w:bottom w:val="single" w:color="auto" w:sz="2" w:space="0"/>
            </w:tcBorders>
            <w:vAlign w:val="center"/>
          </w:tcPr>
          <w:p>
            <w:pPr>
              <w:tabs>
                <w:tab w:val="left" w:pos="9135"/>
              </w:tabs>
              <w:jc w:val="center"/>
              <w:rPr>
                <w:rFonts w:ascii="宋体"/>
              </w:rPr>
            </w:pPr>
            <w:r>
              <w:rPr>
                <w:rFonts w:hint="eastAsia" w:ascii="宋体"/>
              </w:rPr>
              <w:t>医务室</w:t>
            </w:r>
          </w:p>
        </w:tc>
        <w:tc>
          <w:tcPr>
            <w:tcW w:w="973" w:type="dxa"/>
            <w:tcBorders>
              <w:bottom w:val="single" w:color="auto" w:sz="2" w:space="0"/>
            </w:tcBorders>
            <w:vAlign w:val="center"/>
          </w:tcPr>
          <w:p>
            <w:pPr>
              <w:tabs>
                <w:tab w:val="left" w:pos="9135"/>
              </w:tabs>
              <w:jc w:val="center"/>
              <w:rPr>
                <w:rFonts w:ascii="宋体"/>
              </w:rPr>
            </w:pPr>
            <w:r>
              <w:rPr>
                <w:rFonts w:hint="eastAsia" w:ascii="宋体"/>
              </w:rPr>
              <w:t>1</w:t>
            </w:r>
          </w:p>
        </w:tc>
        <w:tc>
          <w:tcPr>
            <w:tcW w:w="1210" w:type="dxa"/>
            <w:gridSpan w:val="2"/>
            <w:tcBorders>
              <w:bottom w:val="single" w:color="auto" w:sz="2" w:space="0"/>
              <w:right w:val="double" w:color="auto" w:sz="4" w:space="0"/>
            </w:tcBorders>
            <w:vAlign w:val="center"/>
          </w:tcPr>
          <w:p>
            <w:pPr>
              <w:tabs>
                <w:tab w:val="left" w:pos="9135"/>
              </w:tabs>
              <w:jc w:val="center"/>
              <w:rPr>
                <w:rFonts w:ascii="宋体"/>
              </w:rPr>
            </w:pPr>
            <w:r>
              <w:rPr>
                <w:rFonts w:hint="eastAsia" w:ascii="宋体"/>
              </w:rPr>
              <w:t>72</w:t>
            </w:r>
          </w:p>
        </w:tc>
        <w:tc>
          <w:tcPr>
            <w:tcW w:w="1171" w:type="dxa"/>
            <w:gridSpan w:val="2"/>
            <w:tcBorders>
              <w:left w:val="nil"/>
              <w:bottom w:val="single" w:color="auto" w:sz="2" w:space="0"/>
            </w:tcBorders>
            <w:vAlign w:val="center"/>
          </w:tcPr>
          <w:p>
            <w:pPr>
              <w:tabs>
                <w:tab w:val="left" w:pos="9135"/>
              </w:tabs>
              <w:jc w:val="center"/>
              <w:rPr>
                <w:rFonts w:ascii="宋体"/>
              </w:rPr>
            </w:pPr>
            <w:r>
              <w:rPr>
                <w:rFonts w:hint="eastAsia" w:ascii="宋体"/>
              </w:rPr>
              <w:t>数字美术媒体室</w:t>
            </w:r>
          </w:p>
        </w:tc>
        <w:tc>
          <w:tcPr>
            <w:tcW w:w="1290" w:type="dxa"/>
            <w:tcBorders>
              <w:bottom w:val="single" w:color="auto" w:sz="2" w:space="0"/>
              <w:right w:val="single" w:color="auto" w:sz="4" w:space="0"/>
            </w:tcBorders>
            <w:vAlign w:val="center"/>
          </w:tcPr>
          <w:p>
            <w:pPr>
              <w:tabs>
                <w:tab w:val="left" w:pos="9135"/>
              </w:tabs>
              <w:jc w:val="center"/>
              <w:rPr>
                <w:rFonts w:ascii="宋体"/>
                <w:highlight w:val="yellow"/>
              </w:rPr>
            </w:pPr>
            <w:r>
              <w:rPr>
                <w:rFonts w:hint="eastAsia" w:ascii="宋体"/>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97" w:hRule="atLeast"/>
        </w:trPr>
        <w:tc>
          <w:tcPr>
            <w:tcW w:w="1176" w:type="dxa"/>
            <w:tcBorders>
              <w:left w:val="single" w:color="auto" w:sz="4" w:space="0"/>
              <w:bottom w:val="single" w:color="auto" w:sz="2" w:space="0"/>
            </w:tcBorders>
            <w:vAlign w:val="center"/>
          </w:tcPr>
          <w:p>
            <w:pPr>
              <w:tabs>
                <w:tab w:val="left" w:pos="9135"/>
              </w:tabs>
              <w:jc w:val="center"/>
              <w:rPr>
                <w:rFonts w:ascii="宋体"/>
              </w:rPr>
            </w:pPr>
            <w:r>
              <w:rPr>
                <w:rFonts w:hint="eastAsia" w:ascii="宋体"/>
              </w:rPr>
              <w:t>美术室</w:t>
            </w:r>
          </w:p>
        </w:tc>
        <w:tc>
          <w:tcPr>
            <w:tcW w:w="973" w:type="dxa"/>
            <w:gridSpan w:val="2"/>
            <w:tcBorders>
              <w:bottom w:val="single" w:color="auto" w:sz="2" w:space="0"/>
            </w:tcBorders>
            <w:vAlign w:val="center"/>
          </w:tcPr>
          <w:p>
            <w:pPr>
              <w:tabs>
                <w:tab w:val="left" w:pos="9135"/>
              </w:tabs>
              <w:jc w:val="center"/>
              <w:rPr>
                <w:rFonts w:ascii="宋体"/>
              </w:rPr>
            </w:pPr>
            <w:r>
              <w:rPr>
                <w:rFonts w:hint="eastAsia" w:ascii="宋体"/>
              </w:rPr>
              <w:t>19</w:t>
            </w:r>
          </w:p>
        </w:tc>
        <w:tc>
          <w:tcPr>
            <w:tcW w:w="1191" w:type="dxa"/>
            <w:gridSpan w:val="2"/>
            <w:tcBorders>
              <w:bottom w:val="single" w:color="auto" w:sz="2" w:space="0"/>
              <w:right w:val="double" w:color="auto" w:sz="4" w:space="0"/>
            </w:tcBorders>
            <w:vAlign w:val="center"/>
          </w:tcPr>
          <w:p>
            <w:pPr>
              <w:tabs>
                <w:tab w:val="left" w:pos="9135"/>
              </w:tabs>
              <w:jc w:val="center"/>
              <w:rPr>
                <w:rFonts w:ascii="宋体"/>
              </w:rPr>
            </w:pPr>
            <w:r>
              <w:rPr>
                <w:rFonts w:hint="eastAsia" w:ascii="宋体"/>
              </w:rPr>
              <w:t>1159</w:t>
            </w:r>
          </w:p>
        </w:tc>
        <w:tc>
          <w:tcPr>
            <w:tcW w:w="1315" w:type="dxa"/>
            <w:gridSpan w:val="2"/>
            <w:tcBorders>
              <w:left w:val="nil"/>
              <w:bottom w:val="single" w:color="auto" w:sz="2" w:space="0"/>
            </w:tcBorders>
            <w:vAlign w:val="center"/>
          </w:tcPr>
          <w:p>
            <w:pPr>
              <w:tabs>
                <w:tab w:val="left" w:pos="9135"/>
              </w:tabs>
              <w:jc w:val="center"/>
              <w:rPr>
                <w:rFonts w:ascii="宋体"/>
              </w:rPr>
            </w:pPr>
            <w:r>
              <w:rPr>
                <w:rFonts w:hint="eastAsia" w:ascii="宋体"/>
              </w:rPr>
              <w:t>心理咨询室</w:t>
            </w:r>
          </w:p>
        </w:tc>
        <w:tc>
          <w:tcPr>
            <w:tcW w:w="973" w:type="dxa"/>
            <w:tcBorders>
              <w:bottom w:val="single" w:color="auto" w:sz="2" w:space="0"/>
            </w:tcBorders>
            <w:vAlign w:val="center"/>
          </w:tcPr>
          <w:p>
            <w:pPr>
              <w:tabs>
                <w:tab w:val="left" w:pos="9135"/>
              </w:tabs>
              <w:jc w:val="center"/>
              <w:rPr>
                <w:rFonts w:ascii="宋体"/>
              </w:rPr>
            </w:pPr>
            <w:r>
              <w:rPr>
                <w:rFonts w:hint="eastAsia" w:ascii="宋体"/>
              </w:rPr>
              <w:t>1</w:t>
            </w:r>
          </w:p>
        </w:tc>
        <w:tc>
          <w:tcPr>
            <w:tcW w:w="1210" w:type="dxa"/>
            <w:gridSpan w:val="2"/>
            <w:tcBorders>
              <w:bottom w:val="single" w:color="auto" w:sz="2" w:space="0"/>
              <w:right w:val="double" w:color="auto" w:sz="4" w:space="0"/>
            </w:tcBorders>
            <w:vAlign w:val="center"/>
          </w:tcPr>
          <w:p>
            <w:pPr>
              <w:tabs>
                <w:tab w:val="left" w:pos="9135"/>
              </w:tabs>
              <w:jc w:val="center"/>
              <w:rPr>
                <w:rFonts w:ascii="宋体"/>
              </w:rPr>
            </w:pPr>
            <w:r>
              <w:rPr>
                <w:rFonts w:hint="eastAsia" w:ascii="宋体"/>
              </w:rPr>
              <w:t>72</w:t>
            </w:r>
          </w:p>
        </w:tc>
        <w:tc>
          <w:tcPr>
            <w:tcW w:w="1171" w:type="dxa"/>
            <w:gridSpan w:val="2"/>
            <w:tcBorders>
              <w:left w:val="nil"/>
              <w:bottom w:val="single" w:color="auto" w:sz="2" w:space="0"/>
            </w:tcBorders>
            <w:vAlign w:val="center"/>
          </w:tcPr>
          <w:p>
            <w:pPr>
              <w:tabs>
                <w:tab w:val="left" w:pos="9135"/>
              </w:tabs>
              <w:jc w:val="center"/>
              <w:rPr>
                <w:rFonts w:ascii="宋体"/>
              </w:rPr>
            </w:pPr>
            <w:r>
              <w:rPr>
                <w:rFonts w:hint="eastAsia" w:ascii="宋体"/>
              </w:rPr>
              <w:t>美术作品欣赏室</w:t>
            </w:r>
          </w:p>
        </w:tc>
        <w:tc>
          <w:tcPr>
            <w:tcW w:w="1290" w:type="dxa"/>
            <w:tcBorders>
              <w:bottom w:val="single" w:color="auto" w:sz="2" w:space="0"/>
              <w:right w:val="single" w:color="auto" w:sz="4" w:space="0"/>
            </w:tcBorders>
            <w:vAlign w:val="center"/>
          </w:tcPr>
          <w:p>
            <w:pPr>
              <w:tabs>
                <w:tab w:val="left" w:pos="9135"/>
              </w:tabs>
              <w:jc w:val="center"/>
              <w:rPr>
                <w:rFonts w:ascii="宋体"/>
                <w:highlight w:val="yellow"/>
              </w:rPr>
            </w:pPr>
            <w:r>
              <w:rPr>
                <w:rFonts w:hint="eastAsia" w:ascii="宋体"/>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97" w:hRule="atLeast"/>
        </w:trPr>
        <w:tc>
          <w:tcPr>
            <w:tcW w:w="1176" w:type="dxa"/>
            <w:tcBorders>
              <w:left w:val="single" w:color="auto" w:sz="4" w:space="0"/>
              <w:bottom w:val="single" w:color="auto" w:sz="2" w:space="0"/>
            </w:tcBorders>
            <w:vAlign w:val="center"/>
          </w:tcPr>
          <w:p>
            <w:pPr>
              <w:tabs>
                <w:tab w:val="left" w:pos="9135"/>
              </w:tabs>
              <w:jc w:val="center"/>
              <w:rPr>
                <w:rFonts w:ascii="宋体"/>
              </w:rPr>
            </w:pPr>
            <w:r>
              <w:rPr>
                <w:rFonts w:hint="eastAsia" w:ascii="宋体"/>
              </w:rPr>
              <w:t>音乐室</w:t>
            </w:r>
          </w:p>
        </w:tc>
        <w:tc>
          <w:tcPr>
            <w:tcW w:w="973" w:type="dxa"/>
            <w:gridSpan w:val="2"/>
            <w:tcBorders>
              <w:bottom w:val="single" w:color="auto" w:sz="2" w:space="0"/>
            </w:tcBorders>
            <w:vAlign w:val="center"/>
          </w:tcPr>
          <w:p>
            <w:pPr>
              <w:tabs>
                <w:tab w:val="left" w:pos="9135"/>
              </w:tabs>
              <w:jc w:val="center"/>
              <w:rPr>
                <w:rFonts w:ascii="宋体"/>
              </w:rPr>
            </w:pPr>
            <w:r>
              <w:rPr>
                <w:rFonts w:hint="eastAsia" w:ascii="宋体"/>
              </w:rPr>
              <w:t>5</w:t>
            </w:r>
          </w:p>
        </w:tc>
        <w:tc>
          <w:tcPr>
            <w:tcW w:w="1191" w:type="dxa"/>
            <w:gridSpan w:val="2"/>
            <w:tcBorders>
              <w:bottom w:val="single" w:color="auto" w:sz="2" w:space="0"/>
              <w:right w:val="double" w:color="auto" w:sz="4" w:space="0"/>
            </w:tcBorders>
            <w:vAlign w:val="center"/>
          </w:tcPr>
          <w:p>
            <w:pPr>
              <w:tabs>
                <w:tab w:val="left" w:pos="9135"/>
              </w:tabs>
              <w:jc w:val="center"/>
              <w:rPr>
                <w:rFonts w:ascii="宋体"/>
              </w:rPr>
            </w:pPr>
            <w:r>
              <w:rPr>
                <w:rFonts w:hint="eastAsia" w:ascii="宋体"/>
              </w:rPr>
              <w:t>305</w:t>
            </w:r>
          </w:p>
        </w:tc>
        <w:tc>
          <w:tcPr>
            <w:tcW w:w="1315" w:type="dxa"/>
            <w:gridSpan w:val="2"/>
            <w:tcBorders>
              <w:left w:val="nil"/>
              <w:bottom w:val="single" w:color="auto" w:sz="2" w:space="0"/>
            </w:tcBorders>
            <w:vAlign w:val="center"/>
          </w:tcPr>
          <w:p>
            <w:pPr>
              <w:tabs>
                <w:tab w:val="left" w:pos="9135"/>
              </w:tabs>
              <w:jc w:val="center"/>
              <w:rPr>
                <w:rFonts w:ascii="宋体"/>
              </w:rPr>
            </w:pPr>
            <w:r>
              <w:rPr>
                <w:rFonts w:hint="eastAsia" w:ascii="宋体"/>
              </w:rPr>
              <w:t>校史室</w:t>
            </w:r>
          </w:p>
        </w:tc>
        <w:tc>
          <w:tcPr>
            <w:tcW w:w="973" w:type="dxa"/>
            <w:tcBorders>
              <w:bottom w:val="single" w:color="auto" w:sz="2" w:space="0"/>
            </w:tcBorders>
            <w:vAlign w:val="center"/>
          </w:tcPr>
          <w:p>
            <w:pPr>
              <w:tabs>
                <w:tab w:val="left" w:pos="9135"/>
              </w:tabs>
              <w:jc w:val="center"/>
              <w:rPr>
                <w:rFonts w:ascii="宋体"/>
              </w:rPr>
            </w:pPr>
            <w:r>
              <w:rPr>
                <w:rFonts w:hint="eastAsia" w:ascii="宋体"/>
              </w:rPr>
              <w:t>1</w:t>
            </w:r>
          </w:p>
        </w:tc>
        <w:tc>
          <w:tcPr>
            <w:tcW w:w="1210" w:type="dxa"/>
            <w:gridSpan w:val="2"/>
            <w:tcBorders>
              <w:bottom w:val="single" w:color="auto" w:sz="2" w:space="0"/>
              <w:right w:val="double" w:color="auto" w:sz="4" w:space="0"/>
            </w:tcBorders>
            <w:vAlign w:val="center"/>
          </w:tcPr>
          <w:p>
            <w:pPr>
              <w:tabs>
                <w:tab w:val="left" w:pos="9135"/>
              </w:tabs>
              <w:jc w:val="center"/>
              <w:rPr>
                <w:rFonts w:ascii="宋体"/>
              </w:rPr>
            </w:pPr>
            <w:r>
              <w:rPr>
                <w:rFonts w:hint="eastAsia" w:ascii="宋体"/>
              </w:rPr>
              <w:t>180</w:t>
            </w:r>
          </w:p>
        </w:tc>
        <w:tc>
          <w:tcPr>
            <w:tcW w:w="1171" w:type="dxa"/>
            <w:gridSpan w:val="2"/>
            <w:tcBorders>
              <w:left w:val="nil"/>
              <w:bottom w:val="single" w:color="auto" w:sz="2" w:space="0"/>
            </w:tcBorders>
            <w:vAlign w:val="center"/>
          </w:tcPr>
          <w:p>
            <w:pPr>
              <w:tabs>
                <w:tab w:val="left" w:pos="9135"/>
              </w:tabs>
              <w:jc w:val="center"/>
              <w:rPr>
                <w:rFonts w:ascii="宋体"/>
              </w:rPr>
            </w:pPr>
            <w:r>
              <w:rPr>
                <w:rFonts w:hint="eastAsia" w:ascii="宋体"/>
              </w:rPr>
              <w:t>形体房</w:t>
            </w:r>
          </w:p>
        </w:tc>
        <w:tc>
          <w:tcPr>
            <w:tcW w:w="1290" w:type="dxa"/>
            <w:tcBorders>
              <w:bottom w:val="single" w:color="auto" w:sz="2" w:space="0"/>
              <w:right w:val="single" w:color="auto" w:sz="4" w:space="0"/>
            </w:tcBorders>
            <w:vAlign w:val="center"/>
          </w:tcPr>
          <w:p>
            <w:pPr>
              <w:tabs>
                <w:tab w:val="left" w:pos="9135"/>
              </w:tabs>
              <w:jc w:val="center"/>
              <w:rPr>
                <w:rFonts w:ascii="宋体"/>
                <w:highlight w:val="yellow"/>
              </w:rPr>
            </w:pPr>
            <w:r>
              <w:rPr>
                <w:rFonts w:hint="eastAsia" w:ascii="宋体"/>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97" w:hRule="atLeast"/>
        </w:trPr>
        <w:tc>
          <w:tcPr>
            <w:tcW w:w="9299" w:type="dxa"/>
            <w:gridSpan w:val="13"/>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right="560"/>
              <w:jc w:val="center"/>
              <w:rPr>
                <w:rFonts w:ascii="宋体"/>
                <w:sz w:val="28"/>
              </w:rPr>
            </w:pPr>
            <w:r>
              <w:rPr>
                <w:rFonts w:hint="eastAsia" w:ascii="宋体"/>
                <w:sz w:val="24"/>
                <w:szCs w:val="24"/>
              </w:rPr>
              <w:t>生活用房面积（共 15</w:t>
            </w:r>
            <w:r>
              <w:rPr>
                <w:rFonts w:ascii="宋体"/>
                <w:sz w:val="24"/>
                <w:szCs w:val="24"/>
              </w:rPr>
              <w:t>475</w:t>
            </w:r>
            <w:r>
              <w:rPr>
                <w:rFonts w:hint="eastAsia" w:ascii="宋体"/>
                <w:sz w:val="24"/>
                <w:szCs w:val="24"/>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98" w:hRule="atLeast"/>
        </w:trPr>
        <w:tc>
          <w:tcPr>
            <w:tcW w:w="1397" w:type="dxa"/>
            <w:gridSpan w:val="2"/>
            <w:tcBorders>
              <w:top w:val="single" w:color="auto" w:sz="4" w:space="0"/>
              <w:left w:val="single" w:color="auto" w:sz="4" w:space="0"/>
            </w:tcBorders>
            <w:vAlign w:val="center"/>
          </w:tcPr>
          <w:p>
            <w:pPr>
              <w:tabs>
                <w:tab w:val="left" w:pos="9135"/>
              </w:tabs>
              <w:jc w:val="center"/>
              <w:rPr>
                <w:rFonts w:ascii="宋体"/>
                <w:sz w:val="24"/>
                <w:szCs w:val="24"/>
              </w:rPr>
            </w:pPr>
            <w:r>
              <w:rPr>
                <w:rFonts w:hint="eastAsia" w:ascii="宋体"/>
                <w:sz w:val="24"/>
                <w:szCs w:val="24"/>
              </w:rPr>
              <w:t>名称</w:t>
            </w:r>
          </w:p>
        </w:tc>
        <w:tc>
          <w:tcPr>
            <w:tcW w:w="1555" w:type="dxa"/>
            <w:gridSpan w:val="2"/>
            <w:tcBorders>
              <w:top w:val="single" w:color="auto" w:sz="4" w:space="0"/>
              <w:right w:val="double" w:color="auto" w:sz="4" w:space="0"/>
            </w:tcBorders>
            <w:vAlign w:val="center"/>
          </w:tcPr>
          <w:p>
            <w:pPr>
              <w:tabs>
                <w:tab w:val="left" w:pos="9135"/>
              </w:tabs>
              <w:jc w:val="center"/>
              <w:rPr>
                <w:rFonts w:ascii="宋体"/>
                <w:sz w:val="24"/>
                <w:szCs w:val="24"/>
              </w:rPr>
            </w:pPr>
            <w:r>
              <w:rPr>
                <w:rFonts w:hint="eastAsia" w:ascii="宋体"/>
                <w:sz w:val="24"/>
                <w:szCs w:val="24"/>
              </w:rPr>
              <w:t>建筑面积</w:t>
            </w:r>
          </w:p>
        </w:tc>
        <w:tc>
          <w:tcPr>
            <w:tcW w:w="1554" w:type="dxa"/>
            <w:gridSpan w:val="2"/>
            <w:tcBorders>
              <w:top w:val="single" w:color="auto" w:sz="4" w:space="0"/>
              <w:left w:val="nil"/>
            </w:tcBorders>
            <w:vAlign w:val="center"/>
          </w:tcPr>
          <w:p>
            <w:pPr>
              <w:tabs>
                <w:tab w:val="left" w:pos="9135"/>
              </w:tabs>
              <w:jc w:val="center"/>
              <w:rPr>
                <w:rFonts w:ascii="宋体"/>
                <w:sz w:val="24"/>
                <w:szCs w:val="24"/>
              </w:rPr>
            </w:pPr>
            <w:r>
              <w:rPr>
                <w:rFonts w:hint="eastAsia" w:ascii="宋体"/>
                <w:sz w:val="24"/>
                <w:szCs w:val="24"/>
              </w:rPr>
              <w:t>名称</w:t>
            </w:r>
          </w:p>
        </w:tc>
        <w:tc>
          <w:tcPr>
            <w:tcW w:w="1555" w:type="dxa"/>
            <w:gridSpan w:val="3"/>
            <w:tcBorders>
              <w:top w:val="single" w:color="auto" w:sz="4" w:space="0"/>
              <w:right w:val="double" w:color="auto" w:sz="4" w:space="0"/>
            </w:tcBorders>
            <w:vAlign w:val="center"/>
          </w:tcPr>
          <w:p>
            <w:pPr>
              <w:tabs>
                <w:tab w:val="left" w:pos="9135"/>
              </w:tabs>
              <w:jc w:val="center"/>
              <w:rPr>
                <w:rFonts w:ascii="宋体"/>
                <w:sz w:val="24"/>
                <w:szCs w:val="24"/>
              </w:rPr>
            </w:pPr>
            <w:r>
              <w:rPr>
                <w:rFonts w:hint="eastAsia" w:ascii="宋体"/>
                <w:sz w:val="24"/>
                <w:szCs w:val="24"/>
              </w:rPr>
              <w:t>建筑面积</w:t>
            </w:r>
          </w:p>
        </w:tc>
        <w:tc>
          <w:tcPr>
            <w:tcW w:w="1555" w:type="dxa"/>
            <w:gridSpan w:val="2"/>
            <w:tcBorders>
              <w:top w:val="single" w:color="auto" w:sz="4" w:space="0"/>
              <w:left w:val="nil"/>
            </w:tcBorders>
            <w:vAlign w:val="center"/>
          </w:tcPr>
          <w:p>
            <w:pPr>
              <w:tabs>
                <w:tab w:val="left" w:pos="9135"/>
              </w:tabs>
              <w:jc w:val="center"/>
              <w:rPr>
                <w:rFonts w:ascii="宋体"/>
                <w:sz w:val="24"/>
                <w:szCs w:val="24"/>
              </w:rPr>
            </w:pPr>
            <w:r>
              <w:rPr>
                <w:rFonts w:hint="eastAsia" w:ascii="宋体"/>
                <w:sz w:val="24"/>
                <w:szCs w:val="24"/>
              </w:rPr>
              <w:t>名称</w:t>
            </w:r>
          </w:p>
        </w:tc>
        <w:tc>
          <w:tcPr>
            <w:tcW w:w="1683" w:type="dxa"/>
            <w:gridSpan w:val="2"/>
            <w:tcBorders>
              <w:top w:val="single" w:color="auto" w:sz="4" w:space="0"/>
              <w:bottom w:val="single" w:color="auto" w:sz="4" w:space="0"/>
              <w:right w:val="single" w:color="auto" w:sz="4" w:space="0"/>
            </w:tcBorders>
            <w:vAlign w:val="center"/>
          </w:tcPr>
          <w:p>
            <w:pPr>
              <w:tabs>
                <w:tab w:val="left" w:pos="9135"/>
              </w:tabs>
              <w:jc w:val="center"/>
              <w:rPr>
                <w:rFonts w:ascii="宋体"/>
                <w:sz w:val="24"/>
                <w:szCs w:val="24"/>
              </w:rPr>
            </w:pPr>
            <w:r>
              <w:rPr>
                <w:rFonts w:hint="eastAsia" w:ascii="宋体"/>
                <w:sz w:val="24"/>
                <w:szCs w:val="24"/>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79" w:hRule="atLeast"/>
        </w:trPr>
        <w:tc>
          <w:tcPr>
            <w:tcW w:w="1397" w:type="dxa"/>
            <w:gridSpan w:val="2"/>
            <w:tcBorders>
              <w:left w:val="single" w:color="auto" w:sz="4" w:space="0"/>
            </w:tcBorders>
            <w:vAlign w:val="center"/>
          </w:tcPr>
          <w:p>
            <w:pPr>
              <w:tabs>
                <w:tab w:val="left" w:pos="9135"/>
              </w:tabs>
              <w:jc w:val="center"/>
              <w:rPr>
                <w:rFonts w:ascii="宋体"/>
              </w:rPr>
            </w:pPr>
            <w:r>
              <w:rPr>
                <w:rFonts w:hint="eastAsia" w:ascii="宋体"/>
              </w:rPr>
              <w:t>食    堂</w:t>
            </w:r>
          </w:p>
        </w:tc>
        <w:tc>
          <w:tcPr>
            <w:tcW w:w="1555" w:type="dxa"/>
            <w:gridSpan w:val="2"/>
            <w:tcBorders>
              <w:right w:val="double" w:color="auto" w:sz="4" w:space="0"/>
            </w:tcBorders>
            <w:vAlign w:val="center"/>
          </w:tcPr>
          <w:p>
            <w:pPr>
              <w:tabs>
                <w:tab w:val="left" w:pos="9135"/>
              </w:tabs>
              <w:jc w:val="center"/>
              <w:rPr>
                <w:rFonts w:ascii="宋体"/>
              </w:rPr>
            </w:pPr>
            <w:r>
              <w:rPr>
                <w:rFonts w:hint="eastAsia" w:ascii="宋体"/>
              </w:rPr>
              <w:t>5148</w:t>
            </w:r>
          </w:p>
        </w:tc>
        <w:tc>
          <w:tcPr>
            <w:tcW w:w="1554" w:type="dxa"/>
            <w:gridSpan w:val="2"/>
            <w:tcBorders>
              <w:left w:val="nil"/>
            </w:tcBorders>
            <w:vAlign w:val="center"/>
          </w:tcPr>
          <w:p>
            <w:pPr>
              <w:tabs>
                <w:tab w:val="left" w:pos="9135"/>
              </w:tabs>
              <w:jc w:val="center"/>
              <w:rPr>
                <w:rFonts w:ascii="宋体"/>
              </w:rPr>
            </w:pPr>
            <w:r>
              <w:rPr>
                <w:rFonts w:hint="eastAsia" w:ascii="宋体"/>
              </w:rPr>
              <w:t>浴   室</w:t>
            </w:r>
          </w:p>
        </w:tc>
        <w:tc>
          <w:tcPr>
            <w:tcW w:w="1555" w:type="dxa"/>
            <w:gridSpan w:val="3"/>
            <w:tcBorders>
              <w:right w:val="double" w:color="auto" w:sz="4" w:space="0"/>
            </w:tcBorders>
            <w:vAlign w:val="center"/>
          </w:tcPr>
          <w:p>
            <w:pPr>
              <w:tabs>
                <w:tab w:val="left" w:pos="9135"/>
              </w:tabs>
              <w:jc w:val="center"/>
              <w:rPr>
                <w:rFonts w:ascii="宋体"/>
              </w:rPr>
            </w:pPr>
            <w:r>
              <w:rPr>
                <w:rFonts w:hint="eastAsia" w:ascii="宋体"/>
              </w:rPr>
              <w:t>192</w:t>
            </w:r>
          </w:p>
        </w:tc>
        <w:tc>
          <w:tcPr>
            <w:tcW w:w="1555" w:type="dxa"/>
            <w:gridSpan w:val="2"/>
            <w:tcBorders>
              <w:left w:val="nil"/>
            </w:tcBorders>
            <w:vAlign w:val="center"/>
          </w:tcPr>
          <w:p>
            <w:pPr>
              <w:tabs>
                <w:tab w:val="left" w:pos="9135"/>
              </w:tabs>
              <w:jc w:val="center"/>
              <w:rPr>
                <w:rFonts w:ascii="宋体"/>
              </w:rPr>
            </w:pPr>
          </w:p>
        </w:tc>
        <w:tc>
          <w:tcPr>
            <w:tcW w:w="1683" w:type="dxa"/>
            <w:gridSpan w:val="2"/>
            <w:tcBorders>
              <w:bottom w:val="single" w:color="auto" w:sz="4" w:space="0"/>
              <w:right w:val="single" w:color="auto" w:sz="4" w:space="0"/>
            </w:tcBorders>
            <w:vAlign w:val="center"/>
          </w:tcPr>
          <w:p>
            <w:pPr>
              <w:tabs>
                <w:tab w:val="left" w:pos="9135"/>
              </w:tabs>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42" w:hRule="atLeast"/>
        </w:trPr>
        <w:tc>
          <w:tcPr>
            <w:tcW w:w="1397" w:type="dxa"/>
            <w:gridSpan w:val="2"/>
            <w:tcBorders>
              <w:left w:val="single" w:color="auto" w:sz="4" w:space="0"/>
            </w:tcBorders>
            <w:vAlign w:val="center"/>
          </w:tcPr>
          <w:p>
            <w:pPr>
              <w:tabs>
                <w:tab w:val="left" w:pos="9135"/>
              </w:tabs>
              <w:jc w:val="center"/>
              <w:rPr>
                <w:rFonts w:ascii="宋体"/>
              </w:rPr>
            </w:pPr>
            <w:r>
              <w:rPr>
                <w:rFonts w:hint="eastAsia" w:ascii="宋体"/>
              </w:rPr>
              <w:t>学生宿舍</w:t>
            </w:r>
          </w:p>
        </w:tc>
        <w:tc>
          <w:tcPr>
            <w:tcW w:w="1555" w:type="dxa"/>
            <w:gridSpan w:val="2"/>
            <w:tcBorders>
              <w:right w:val="double" w:color="auto" w:sz="4" w:space="0"/>
            </w:tcBorders>
            <w:vAlign w:val="center"/>
          </w:tcPr>
          <w:p>
            <w:pPr>
              <w:tabs>
                <w:tab w:val="left" w:pos="9135"/>
              </w:tabs>
              <w:jc w:val="center"/>
              <w:rPr>
                <w:rFonts w:ascii="宋体"/>
              </w:rPr>
            </w:pPr>
            <w:r>
              <w:rPr>
                <w:rFonts w:hint="eastAsia" w:ascii="宋体"/>
              </w:rPr>
              <w:t>9960</w:t>
            </w:r>
          </w:p>
        </w:tc>
        <w:tc>
          <w:tcPr>
            <w:tcW w:w="1554" w:type="dxa"/>
            <w:gridSpan w:val="2"/>
            <w:tcBorders>
              <w:left w:val="nil"/>
            </w:tcBorders>
            <w:vAlign w:val="center"/>
          </w:tcPr>
          <w:p>
            <w:pPr>
              <w:tabs>
                <w:tab w:val="left" w:pos="9135"/>
              </w:tabs>
              <w:jc w:val="center"/>
              <w:rPr>
                <w:rFonts w:ascii="宋体"/>
              </w:rPr>
            </w:pPr>
            <w:r>
              <w:rPr>
                <w:rFonts w:hint="eastAsia" w:ascii="宋体"/>
              </w:rPr>
              <w:t>仓库</w:t>
            </w:r>
          </w:p>
        </w:tc>
        <w:tc>
          <w:tcPr>
            <w:tcW w:w="1555" w:type="dxa"/>
            <w:gridSpan w:val="3"/>
            <w:tcBorders>
              <w:right w:val="double" w:color="auto" w:sz="4" w:space="0"/>
            </w:tcBorders>
            <w:vAlign w:val="center"/>
          </w:tcPr>
          <w:p>
            <w:pPr>
              <w:tabs>
                <w:tab w:val="left" w:pos="9135"/>
              </w:tabs>
              <w:jc w:val="center"/>
              <w:rPr>
                <w:rFonts w:ascii="宋体"/>
              </w:rPr>
            </w:pPr>
            <w:r>
              <w:rPr>
                <w:rFonts w:ascii="宋体"/>
              </w:rPr>
              <w:t>175</w:t>
            </w:r>
          </w:p>
        </w:tc>
        <w:tc>
          <w:tcPr>
            <w:tcW w:w="1555" w:type="dxa"/>
            <w:gridSpan w:val="2"/>
            <w:tcBorders>
              <w:left w:val="nil"/>
              <w:right w:val="single" w:color="auto" w:sz="4" w:space="0"/>
            </w:tcBorders>
            <w:vAlign w:val="center"/>
          </w:tcPr>
          <w:p>
            <w:pPr>
              <w:tabs>
                <w:tab w:val="left" w:pos="9135"/>
              </w:tabs>
              <w:jc w:val="center"/>
              <w:rPr>
                <w:rFonts w:ascii="宋体"/>
              </w:rPr>
            </w:pPr>
          </w:p>
        </w:tc>
        <w:tc>
          <w:tcPr>
            <w:tcW w:w="1683" w:type="dxa"/>
            <w:gridSpan w:val="2"/>
            <w:tcBorders>
              <w:top w:val="single" w:color="auto" w:sz="4" w:space="0"/>
              <w:left w:val="nil"/>
              <w:bottom w:val="single" w:color="auto" w:sz="4" w:space="0"/>
              <w:right w:val="single" w:color="auto" w:sz="4" w:space="0"/>
            </w:tcBorders>
            <w:vAlign w:val="center"/>
          </w:tcPr>
          <w:p>
            <w:pPr>
              <w:tabs>
                <w:tab w:val="left" w:pos="9135"/>
              </w:tabs>
              <w:jc w:val="center"/>
              <w:rPr>
                <w:rFonts w:ascii="宋体"/>
              </w:rPr>
            </w:pPr>
          </w:p>
        </w:tc>
      </w:tr>
    </w:tbl>
    <w:p>
      <w:pPr>
        <w:tabs>
          <w:tab w:val="left" w:pos="9135"/>
        </w:tabs>
        <w:rPr>
          <w:rFonts w:ascii="宋体"/>
        </w:rPr>
      </w:pPr>
      <w:r>
        <w:rPr>
          <w:rFonts w:hint="eastAsia" w:ascii="宋体"/>
        </w:rPr>
        <w:t>注：1、校园面积及校舍建筑面积不含非单身教师生活用房及其占地面积；</w:t>
      </w:r>
    </w:p>
    <w:p>
      <w:pPr>
        <w:ind w:firstLine="420"/>
        <w:rPr>
          <w:rFonts w:ascii="宋体"/>
        </w:rPr>
      </w:pPr>
      <w:r>
        <w:rPr>
          <w:rFonts w:hint="eastAsia" w:ascii="宋体"/>
        </w:rPr>
        <w:t>2、计算生均校舍建筑面积，需在校舍建筑总面积中扣除师生宿舍面积，然后进行计算；</w:t>
      </w:r>
    </w:p>
    <w:p>
      <w:pPr>
        <w:ind w:firstLine="420"/>
        <w:rPr>
          <w:rFonts w:ascii="宋体"/>
        </w:rPr>
      </w:pPr>
      <w:r>
        <w:rPr>
          <w:rFonts w:hint="eastAsia" w:ascii="宋体"/>
        </w:rPr>
        <w:t>3、实验室建筑面积含仪器室、准备室、标本室等配套用房面积；</w:t>
      </w:r>
    </w:p>
    <w:p>
      <w:pPr>
        <w:ind w:firstLine="420" w:firstLineChars="200"/>
        <w:rPr>
          <w:rFonts w:ascii="宋体"/>
        </w:rPr>
      </w:pPr>
      <w:r>
        <w:rPr>
          <w:rFonts w:hint="eastAsia" w:ascii="宋体"/>
        </w:rPr>
        <w:t>3、表中未列入的用房类别，学校可根据情况自行补充填写。</w:t>
      </w:r>
    </w:p>
    <w:p>
      <w:pPr>
        <w:tabs>
          <w:tab w:val="left" w:pos="9135"/>
        </w:tabs>
        <w:rPr>
          <w:rFonts w:ascii="宋体"/>
        </w:rPr>
      </w:pPr>
      <w:r>
        <w:rPr>
          <w:rFonts w:hint="eastAsia" w:ascii="宋体"/>
        </w:rPr>
        <w:t xml:space="preserve">    4、统计数量与面积时注意不要重复计算。</w:t>
      </w:r>
    </w:p>
    <w:p>
      <w:pPr>
        <w:tabs>
          <w:tab w:val="left" w:pos="0"/>
        </w:tabs>
        <w:spacing w:line="560" w:lineRule="exact"/>
        <w:ind w:right="560"/>
        <w:rPr>
          <w:rFonts w:ascii="宋体"/>
          <w:b/>
          <w:sz w:val="28"/>
          <w:szCs w:val="28"/>
        </w:rPr>
      </w:pPr>
      <w:r>
        <w:rPr>
          <w:rFonts w:hint="eastAsia" w:ascii="宋体"/>
          <w:b/>
          <w:sz w:val="28"/>
          <w:szCs w:val="28"/>
        </w:rPr>
        <w:t>3. 教育信息化设施统计表</w:t>
      </w:r>
    </w:p>
    <w:tbl>
      <w:tblPr>
        <w:tblStyle w:val="14"/>
        <w:tblW w:w="9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474"/>
        <w:gridCol w:w="971"/>
        <w:gridCol w:w="971"/>
        <w:gridCol w:w="1221"/>
        <w:gridCol w:w="1146"/>
        <w:gridCol w:w="955"/>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10" w:type="dxa"/>
            <w:gridSpan w:val="3"/>
            <w:vAlign w:val="center"/>
          </w:tcPr>
          <w:p>
            <w:pPr>
              <w:tabs>
                <w:tab w:val="left" w:pos="9135"/>
              </w:tabs>
              <w:jc w:val="center"/>
              <w:rPr>
                <w:rFonts w:ascii="宋体"/>
                <w:sz w:val="24"/>
                <w:szCs w:val="24"/>
              </w:rPr>
            </w:pPr>
            <w:r>
              <w:rPr>
                <w:rFonts w:hint="eastAsia" w:ascii="宋体"/>
                <w:sz w:val="24"/>
                <w:szCs w:val="24"/>
              </w:rPr>
              <w:t>校内网络主干速率(Mbps)</w:t>
            </w:r>
          </w:p>
        </w:tc>
        <w:tc>
          <w:tcPr>
            <w:tcW w:w="971" w:type="dxa"/>
            <w:vAlign w:val="center"/>
          </w:tcPr>
          <w:p>
            <w:pPr>
              <w:tabs>
                <w:tab w:val="left" w:pos="9135"/>
              </w:tabs>
              <w:jc w:val="center"/>
              <w:rPr>
                <w:rFonts w:ascii="宋体"/>
                <w:sz w:val="24"/>
                <w:szCs w:val="24"/>
              </w:rPr>
            </w:pPr>
            <w:r>
              <w:rPr>
                <w:rFonts w:hint="eastAsia" w:ascii="宋体"/>
                <w:sz w:val="24"/>
                <w:szCs w:val="24"/>
              </w:rPr>
              <w:t>1000兆</w:t>
            </w:r>
          </w:p>
        </w:tc>
        <w:tc>
          <w:tcPr>
            <w:tcW w:w="3322" w:type="dxa"/>
            <w:gridSpan w:val="3"/>
            <w:vAlign w:val="center"/>
          </w:tcPr>
          <w:p>
            <w:pPr>
              <w:tabs>
                <w:tab w:val="left" w:pos="9135"/>
              </w:tabs>
              <w:jc w:val="center"/>
              <w:rPr>
                <w:rFonts w:ascii="宋体"/>
                <w:sz w:val="24"/>
                <w:szCs w:val="24"/>
              </w:rPr>
            </w:pPr>
            <w:r>
              <w:rPr>
                <w:rFonts w:hint="eastAsia" w:ascii="宋体"/>
                <w:sz w:val="24"/>
                <w:szCs w:val="24"/>
              </w:rPr>
              <w:t>多媒体网络教室数</w:t>
            </w:r>
          </w:p>
        </w:tc>
        <w:tc>
          <w:tcPr>
            <w:tcW w:w="896" w:type="dxa"/>
            <w:vAlign w:val="center"/>
          </w:tcPr>
          <w:p>
            <w:pPr>
              <w:tabs>
                <w:tab w:val="left" w:pos="9135"/>
              </w:tabs>
              <w:jc w:val="center"/>
              <w:rPr>
                <w:rFonts w:ascii="宋体"/>
                <w:sz w:val="24"/>
                <w:szCs w:val="24"/>
              </w:rPr>
            </w:pPr>
            <w:r>
              <w:rPr>
                <w:rFonts w:hint="eastAsia" w:ascii="宋体"/>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5" w:type="dxa"/>
            <w:vMerge w:val="restart"/>
            <w:vAlign w:val="center"/>
          </w:tcPr>
          <w:p>
            <w:pPr>
              <w:tabs>
                <w:tab w:val="left" w:pos="9135"/>
              </w:tabs>
              <w:jc w:val="center"/>
              <w:rPr>
                <w:rFonts w:ascii="宋体"/>
              </w:rPr>
            </w:pPr>
            <w:r>
              <w:rPr>
                <w:rFonts w:hint="eastAsia" w:ascii="宋体"/>
              </w:rPr>
              <w:t>网络信息</w:t>
            </w:r>
          </w:p>
          <w:p>
            <w:pPr>
              <w:tabs>
                <w:tab w:val="left" w:pos="9135"/>
              </w:tabs>
              <w:jc w:val="center"/>
              <w:rPr>
                <w:rFonts w:ascii="宋体"/>
              </w:rPr>
            </w:pPr>
            <w:r>
              <w:rPr>
                <w:rFonts w:hint="eastAsia" w:ascii="宋体"/>
              </w:rPr>
              <w:t>服务功能</w:t>
            </w:r>
          </w:p>
          <w:p>
            <w:pPr>
              <w:tabs>
                <w:tab w:val="left" w:pos="9135"/>
              </w:tabs>
              <w:jc w:val="center"/>
              <w:rPr>
                <w:rFonts w:ascii="宋体"/>
              </w:rPr>
            </w:pPr>
            <w:r>
              <w:rPr>
                <w:rFonts w:hint="eastAsia" w:ascii="宋体"/>
              </w:rPr>
              <w:t>（打“√”）</w:t>
            </w:r>
          </w:p>
        </w:tc>
        <w:tc>
          <w:tcPr>
            <w:tcW w:w="1474" w:type="dxa"/>
            <w:vAlign w:val="center"/>
          </w:tcPr>
          <w:p>
            <w:pPr>
              <w:tabs>
                <w:tab w:val="left" w:pos="9135"/>
              </w:tabs>
              <w:jc w:val="center"/>
              <w:rPr>
                <w:rFonts w:ascii="宋体"/>
              </w:rPr>
            </w:pPr>
            <w:r>
              <w:rPr>
                <w:rFonts w:hint="eastAsia" w:ascii="宋体"/>
              </w:rPr>
              <w:t>Internet</w:t>
            </w:r>
          </w:p>
          <w:p>
            <w:pPr>
              <w:tabs>
                <w:tab w:val="left" w:pos="9135"/>
              </w:tabs>
              <w:jc w:val="center"/>
              <w:rPr>
                <w:rFonts w:ascii="宋体"/>
              </w:rPr>
            </w:pPr>
            <w:r>
              <w:rPr>
                <w:rFonts w:hint="eastAsia" w:ascii="宋体"/>
              </w:rPr>
              <w:t>连    接</w:t>
            </w:r>
          </w:p>
        </w:tc>
        <w:tc>
          <w:tcPr>
            <w:tcW w:w="971" w:type="dxa"/>
            <w:vAlign w:val="center"/>
          </w:tcPr>
          <w:p>
            <w:pPr>
              <w:tabs>
                <w:tab w:val="left" w:pos="9135"/>
              </w:tabs>
              <w:jc w:val="center"/>
              <w:rPr>
                <w:rFonts w:ascii="宋体"/>
              </w:rPr>
            </w:pPr>
            <w:r>
              <w:rPr>
                <w:rFonts w:hint="eastAsia" w:ascii="宋体"/>
              </w:rPr>
              <w:t>访问</w:t>
            </w:r>
          </w:p>
          <w:p>
            <w:pPr>
              <w:tabs>
                <w:tab w:val="left" w:pos="9135"/>
              </w:tabs>
              <w:jc w:val="center"/>
              <w:rPr>
                <w:rFonts w:ascii="宋体"/>
              </w:rPr>
            </w:pPr>
            <w:r>
              <w:rPr>
                <w:rFonts w:hint="eastAsia" w:ascii="宋体"/>
              </w:rPr>
              <w:t>代理</w:t>
            </w:r>
          </w:p>
        </w:tc>
        <w:tc>
          <w:tcPr>
            <w:tcW w:w="971" w:type="dxa"/>
            <w:vAlign w:val="center"/>
          </w:tcPr>
          <w:p>
            <w:pPr>
              <w:tabs>
                <w:tab w:val="left" w:pos="9135"/>
              </w:tabs>
              <w:jc w:val="center"/>
              <w:rPr>
                <w:rFonts w:ascii="宋体"/>
              </w:rPr>
            </w:pPr>
            <w:r>
              <w:rPr>
                <w:rFonts w:hint="eastAsia" w:ascii="宋体"/>
              </w:rPr>
              <w:t>文件</w:t>
            </w:r>
          </w:p>
          <w:p>
            <w:pPr>
              <w:tabs>
                <w:tab w:val="left" w:pos="9135"/>
              </w:tabs>
              <w:jc w:val="center"/>
              <w:rPr>
                <w:rFonts w:ascii="宋体"/>
              </w:rPr>
            </w:pPr>
            <w:r>
              <w:rPr>
                <w:rFonts w:hint="eastAsia" w:ascii="宋体"/>
              </w:rPr>
              <w:t>传输</w:t>
            </w:r>
          </w:p>
        </w:tc>
        <w:tc>
          <w:tcPr>
            <w:tcW w:w="1221" w:type="dxa"/>
            <w:vAlign w:val="center"/>
          </w:tcPr>
          <w:p>
            <w:pPr>
              <w:jc w:val="center"/>
              <w:rPr>
                <w:rFonts w:ascii="宋体"/>
              </w:rPr>
            </w:pPr>
            <w:r>
              <w:rPr>
                <w:rFonts w:hint="eastAsia" w:ascii="宋体"/>
              </w:rPr>
              <w:t>Web浏览</w:t>
            </w:r>
          </w:p>
        </w:tc>
        <w:tc>
          <w:tcPr>
            <w:tcW w:w="1146" w:type="dxa"/>
            <w:vAlign w:val="center"/>
          </w:tcPr>
          <w:p>
            <w:pPr>
              <w:tabs>
                <w:tab w:val="left" w:pos="9135"/>
              </w:tabs>
              <w:jc w:val="center"/>
              <w:rPr>
                <w:rFonts w:ascii="宋体"/>
              </w:rPr>
            </w:pPr>
            <w:r>
              <w:rPr>
                <w:rFonts w:hint="eastAsia" w:ascii="宋体"/>
              </w:rPr>
              <w:t>电子邮件</w:t>
            </w:r>
          </w:p>
        </w:tc>
        <w:tc>
          <w:tcPr>
            <w:tcW w:w="955" w:type="dxa"/>
            <w:vAlign w:val="center"/>
          </w:tcPr>
          <w:p>
            <w:pPr>
              <w:tabs>
                <w:tab w:val="left" w:pos="9135"/>
              </w:tabs>
              <w:jc w:val="center"/>
              <w:rPr>
                <w:rFonts w:ascii="宋体"/>
              </w:rPr>
            </w:pPr>
            <w:r>
              <w:rPr>
                <w:rFonts w:hint="eastAsia" w:ascii="宋体"/>
              </w:rPr>
              <w:t>BBS</w:t>
            </w:r>
          </w:p>
        </w:tc>
        <w:tc>
          <w:tcPr>
            <w:tcW w:w="896" w:type="dxa"/>
            <w:vAlign w:val="center"/>
          </w:tcPr>
          <w:p>
            <w:pPr>
              <w:tabs>
                <w:tab w:val="left" w:pos="9135"/>
              </w:tabs>
              <w:jc w:val="center"/>
              <w:rPr>
                <w:rFonts w:ascii="宋体"/>
              </w:rPr>
            </w:pPr>
            <w:r>
              <w:rPr>
                <w:rFonts w:hint="eastAsia" w:ascii="宋体"/>
              </w:rPr>
              <w:t>CHAT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5" w:type="dxa"/>
            <w:vMerge w:val="continue"/>
            <w:vAlign w:val="center"/>
          </w:tcPr>
          <w:p>
            <w:pPr>
              <w:tabs>
                <w:tab w:val="left" w:pos="9135"/>
              </w:tabs>
              <w:jc w:val="center"/>
              <w:rPr>
                <w:rFonts w:ascii="宋体"/>
              </w:rPr>
            </w:pPr>
          </w:p>
        </w:tc>
        <w:tc>
          <w:tcPr>
            <w:tcW w:w="1474" w:type="dxa"/>
            <w:vAlign w:val="center"/>
          </w:tcPr>
          <w:p>
            <w:pPr>
              <w:tabs>
                <w:tab w:val="left" w:pos="9135"/>
              </w:tabs>
              <w:jc w:val="center"/>
              <w:rPr>
                <w:rFonts w:ascii="宋体"/>
              </w:rPr>
            </w:pPr>
            <w:r>
              <w:rPr>
                <w:rFonts w:hint="eastAsia" w:ascii="宋体" w:hAnsi="宋体"/>
                <w:color w:val="000000"/>
                <w:szCs w:val="21"/>
              </w:rPr>
              <w:t>√</w:t>
            </w:r>
          </w:p>
        </w:tc>
        <w:tc>
          <w:tcPr>
            <w:tcW w:w="971" w:type="dxa"/>
            <w:vAlign w:val="center"/>
          </w:tcPr>
          <w:p>
            <w:pPr>
              <w:tabs>
                <w:tab w:val="left" w:pos="9135"/>
              </w:tabs>
              <w:jc w:val="center"/>
              <w:rPr>
                <w:rFonts w:ascii="宋体"/>
              </w:rPr>
            </w:pPr>
          </w:p>
        </w:tc>
        <w:tc>
          <w:tcPr>
            <w:tcW w:w="971" w:type="dxa"/>
            <w:vAlign w:val="center"/>
          </w:tcPr>
          <w:p>
            <w:pPr>
              <w:tabs>
                <w:tab w:val="left" w:pos="9135"/>
              </w:tabs>
              <w:jc w:val="center"/>
              <w:rPr>
                <w:rFonts w:ascii="宋体"/>
              </w:rPr>
            </w:pPr>
            <w:r>
              <w:rPr>
                <w:rFonts w:hint="eastAsia" w:ascii="宋体" w:hAnsi="宋体"/>
                <w:color w:val="000000"/>
                <w:szCs w:val="21"/>
              </w:rPr>
              <w:t>√</w:t>
            </w:r>
          </w:p>
        </w:tc>
        <w:tc>
          <w:tcPr>
            <w:tcW w:w="1221" w:type="dxa"/>
            <w:vAlign w:val="center"/>
          </w:tcPr>
          <w:p>
            <w:pPr>
              <w:tabs>
                <w:tab w:val="left" w:pos="9135"/>
              </w:tabs>
              <w:jc w:val="center"/>
              <w:rPr>
                <w:rFonts w:ascii="宋体"/>
              </w:rPr>
            </w:pPr>
            <w:r>
              <w:rPr>
                <w:rFonts w:hint="eastAsia" w:ascii="宋体" w:hAnsi="宋体"/>
                <w:color w:val="000000"/>
                <w:szCs w:val="21"/>
              </w:rPr>
              <w:t>√</w:t>
            </w:r>
          </w:p>
        </w:tc>
        <w:tc>
          <w:tcPr>
            <w:tcW w:w="1146" w:type="dxa"/>
            <w:vAlign w:val="center"/>
          </w:tcPr>
          <w:p>
            <w:pPr>
              <w:tabs>
                <w:tab w:val="left" w:pos="9135"/>
              </w:tabs>
              <w:jc w:val="center"/>
              <w:rPr>
                <w:rFonts w:ascii="宋体"/>
              </w:rPr>
            </w:pPr>
            <w:r>
              <w:rPr>
                <w:rFonts w:hint="eastAsia" w:ascii="宋体" w:hAnsi="宋体"/>
                <w:color w:val="000000"/>
                <w:szCs w:val="21"/>
              </w:rPr>
              <w:t>√</w:t>
            </w:r>
          </w:p>
        </w:tc>
        <w:tc>
          <w:tcPr>
            <w:tcW w:w="955" w:type="dxa"/>
            <w:vAlign w:val="center"/>
          </w:tcPr>
          <w:p>
            <w:pPr>
              <w:tabs>
                <w:tab w:val="left" w:pos="9135"/>
              </w:tabs>
              <w:jc w:val="center"/>
              <w:rPr>
                <w:rFonts w:ascii="宋体"/>
              </w:rPr>
            </w:pPr>
            <w:r>
              <w:rPr>
                <w:rFonts w:hint="eastAsia" w:ascii="宋体" w:hAnsi="宋体"/>
                <w:color w:val="000000"/>
                <w:szCs w:val="21"/>
              </w:rPr>
              <w:t>√</w:t>
            </w:r>
          </w:p>
        </w:tc>
        <w:tc>
          <w:tcPr>
            <w:tcW w:w="896" w:type="dxa"/>
            <w:vAlign w:val="center"/>
          </w:tcPr>
          <w:p>
            <w:pPr>
              <w:tabs>
                <w:tab w:val="left" w:pos="9135"/>
              </w:tabs>
              <w:jc w:val="center"/>
              <w:rPr>
                <w:rFonts w:ascii="宋体"/>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665" w:type="dxa"/>
            <w:vMerge w:val="restart"/>
            <w:vAlign w:val="center"/>
          </w:tcPr>
          <w:p>
            <w:pPr>
              <w:tabs>
                <w:tab w:val="left" w:pos="9135"/>
              </w:tabs>
              <w:jc w:val="center"/>
              <w:rPr>
                <w:rFonts w:ascii="宋体"/>
              </w:rPr>
            </w:pPr>
            <w:r>
              <w:rPr>
                <w:rFonts w:hint="eastAsia" w:ascii="宋体"/>
              </w:rPr>
              <w:t>数字化校园系统及功能（打“√”）</w:t>
            </w:r>
          </w:p>
        </w:tc>
        <w:tc>
          <w:tcPr>
            <w:tcW w:w="1474" w:type="dxa"/>
            <w:vAlign w:val="center"/>
          </w:tcPr>
          <w:p>
            <w:pPr>
              <w:tabs>
                <w:tab w:val="left" w:pos="9135"/>
              </w:tabs>
              <w:jc w:val="center"/>
              <w:rPr>
                <w:rFonts w:ascii="宋体"/>
              </w:rPr>
            </w:pPr>
            <w:r>
              <w:rPr>
                <w:rFonts w:hint="eastAsia" w:ascii="宋体"/>
              </w:rPr>
              <w:t>信息基础</w:t>
            </w:r>
          </w:p>
          <w:p>
            <w:pPr>
              <w:tabs>
                <w:tab w:val="left" w:pos="9135"/>
              </w:tabs>
              <w:jc w:val="center"/>
              <w:rPr>
                <w:rFonts w:ascii="宋体"/>
              </w:rPr>
            </w:pPr>
            <w:r>
              <w:rPr>
                <w:rFonts w:hint="eastAsia" w:ascii="宋体"/>
              </w:rPr>
              <w:t>设施安全</w:t>
            </w:r>
          </w:p>
          <w:p>
            <w:pPr>
              <w:tabs>
                <w:tab w:val="left" w:pos="9135"/>
              </w:tabs>
              <w:jc w:val="center"/>
              <w:rPr>
                <w:rFonts w:ascii="宋体"/>
              </w:rPr>
            </w:pPr>
            <w:r>
              <w:rPr>
                <w:rFonts w:hint="eastAsia" w:ascii="宋体"/>
              </w:rPr>
              <w:t>管理系统</w:t>
            </w:r>
          </w:p>
        </w:tc>
        <w:tc>
          <w:tcPr>
            <w:tcW w:w="971" w:type="dxa"/>
            <w:vAlign w:val="center"/>
          </w:tcPr>
          <w:p>
            <w:pPr>
              <w:tabs>
                <w:tab w:val="left" w:pos="9135"/>
              </w:tabs>
              <w:jc w:val="center"/>
              <w:rPr>
                <w:rFonts w:ascii="宋体"/>
              </w:rPr>
            </w:pPr>
            <w:r>
              <w:rPr>
                <w:rFonts w:hint="eastAsia" w:ascii="宋体"/>
              </w:rPr>
              <w:t>校务管理系统</w:t>
            </w:r>
          </w:p>
        </w:tc>
        <w:tc>
          <w:tcPr>
            <w:tcW w:w="971" w:type="dxa"/>
            <w:vAlign w:val="center"/>
          </w:tcPr>
          <w:p>
            <w:pPr>
              <w:tabs>
                <w:tab w:val="left" w:pos="9135"/>
              </w:tabs>
              <w:jc w:val="center"/>
              <w:rPr>
                <w:rFonts w:ascii="宋体"/>
              </w:rPr>
            </w:pPr>
            <w:r>
              <w:rPr>
                <w:rFonts w:hint="eastAsia" w:ascii="宋体"/>
              </w:rPr>
              <w:t>图  书</w:t>
            </w:r>
          </w:p>
          <w:p>
            <w:pPr>
              <w:tabs>
                <w:tab w:val="left" w:pos="9135"/>
              </w:tabs>
              <w:jc w:val="center"/>
              <w:rPr>
                <w:rFonts w:ascii="宋体"/>
              </w:rPr>
            </w:pPr>
            <w:r>
              <w:rPr>
                <w:rFonts w:hint="eastAsia" w:ascii="宋体"/>
              </w:rPr>
              <w:t>自动化系  统</w:t>
            </w:r>
          </w:p>
        </w:tc>
        <w:tc>
          <w:tcPr>
            <w:tcW w:w="1221" w:type="dxa"/>
            <w:vAlign w:val="center"/>
          </w:tcPr>
          <w:p>
            <w:pPr>
              <w:tabs>
                <w:tab w:val="left" w:pos="9135"/>
              </w:tabs>
              <w:jc w:val="center"/>
              <w:rPr>
                <w:rFonts w:ascii="宋体"/>
              </w:rPr>
            </w:pPr>
            <w:r>
              <w:rPr>
                <w:rFonts w:hint="eastAsia" w:ascii="宋体"/>
              </w:rPr>
              <w:t>电子教学实施系统</w:t>
            </w:r>
          </w:p>
        </w:tc>
        <w:tc>
          <w:tcPr>
            <w:tcW w:w="1146" w:type="dxa"/>
            <w:vAlign w:val="center"/>
          </w:tcPr>
          <w:p>
            <w:pPr>
              <w:tabs>
                <w:tab w:val="left" w:pos="9135"/>
              </w:tabs>
              <w:jc w:val="center"/>
              <w:rPr>
                <w:rFonts w:ascii="宋体"/>
              </w:rPr>
            </w:pPr>
            <w:r>
              <w:rPr>
                <w:rFonts w:hint="eastAsia" w:ascii="宋体"/>
              </w:rPr>
              <w:t>多 媒 体</w:t>
            </w:r>
          </w:p>
          <w:p>
            <w:pPr>
              <w:tabs>
                <w:tab w:val="left" w:pos="9135"/>
              </w:tabs>
              <w:jc w:val="center"/>
              <w:rPr>
                <w:rFonts w:ascii="宋体"/>
              </w:rPr>
            </w:pPr>
            <w:r>
              <w:rPr>
                <w:rFonts w:hint="eastAsia" w:ascii="宋体"/>
              </w:rPr>
              <w:t>教学资源制作系统</w:t>
            </w:r>
          </w:p>
        </w:tc>
        <w:tc>
          <w:tcPr>
            <w:tcW w:w="955" w:type="dxa"/>
            <w:vAlign w:val="center"/>
          </w:tcPr>
          <w:p>
            <w:pPr>
              <w:tabs>
                <w:tab w:val="left" w:pos="9135"/>
              </w:tabs>
              <w:jc w:val="center"/>
              <w:rPr>
                <w:rFonts w:ascii="宋体"/>
              </w:rPr>
            </w:pPr>
            <w:r>
              <w:rPr>
                <w:rFonts w:hint="eastAsia" w:ascii="宋体"/>
              </w:rPr>
              <w:t>家校沟通平台</w:t>
            </w:r>
          </w:p>
        </w:tc>
        <w:tc>
          <w:tcPr>
            <w:tcW w:w="896" w:type="dxa"/>
            <w:vAlign w:val="center"/>
          </w:tcPr>
          <w:p>
            <w:pPr>
              <w:tabs>
                <w:tab w:val="left" w:pos="9135"/>
              </w:tabs>
              <w:jc w:val="center"/>
              <w:rPr>
                <w:rFonts w:ascii="宋体"/>
              </w:rPr>
            </w:pPr>
            <w:r>
              <w:rPr>
                <w:rFonts w:hint="eastAsia" w:ascii="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5" w:type="dxa"/>
            <w:vMerge w:val="continue"/>
            <w:vAlign w:val="center"/>
          </w:tcPr>
          <w:p>
            <w:pPr>
              <w:tabs>
                <w:tab w:val="left" w:pos="9135"/>
              </w:tabs>
              <w:jc w:val="center"/>
              <w:rPr>
                <w:rFonts w:ascii="宋体"/>
              </w:rPr>
            </w:pPr>
          </w:p>
        </w:tc>
        <w:tc>
          <w:tcPr>
            <w:tcW w:w="1474" w:type="dxa"/>
            <w:vAlign w:val="center"/>
          </w:tcPr>
          <w:p>
            <w:pPr>
              <w:tabs>
                <w:tab w:val="left" w:pos="9135"/>
              </w:tabs>
              <w:jc w:val="center"/>
              <w:rPr>
                <w:rFonts w:ascii="宋体"/>
              </w:rPr>
            </w:pPr>
            <w:r>
              <w:rPr>
                <w:rFonts w:hint="eastAsia" w:ascii="宋体" w:hAnsi="宋体"/>
                <w:color w:val="000000"/>
                <w:szCs w:val="21"/>
              </w:rPr>
              <w:t>√</w:t>
            </w:r>
          </w:p>
        </w:tc>
        <w:tc>
          <w:tcPr>
            <w:tcW w:w="971" w:type="dxa"/>
            <w:vAlign w:val="center"/>
          </w:tcPr>
          <w:p>
            <w:pPr>
              <w:tabs>
                <w:tab w:val="left" w:pos="9135"/>
              </w:tabs>
              <w:jc w:val="center"/>
              <w:rPr>
                <w:rFonts w:ascii="宋体"/>
              </w:rPr>
            </w:pPr>
            <w:r>
              <w:rPr>
                <w:rFonts w:hint="eastAsia" w:ascii="宋体" w:hAnsi="宋体"/>
                <w:color w:val="000000"/>
                <w:szCs w:val="21"/>
              </w:rPr>
              <w:t>√</w:t>
            </w:r>
          </w:p>
        </w:tc>
        <w:tc>
          <w:tcPr>
            <w:tcW w:w="971" w:type="dxa"/>
            <w:vAlign w:val="center"/>
          </w:tcPr>
          <w:p>
            <w:pPr>
              <w:tabs>
                <w:tab w:val="left" w:pos="9135"/>
              </w:tabs>
              <w:jc w:val="center"/>
              <w:rPr>
                <w:rFonts w:ascii="宋体"/>
              </w:rPr>
            </w:pPr>
            <w:r>
              <w:rPr>
                <w:rFonts w:hint="eastAsia" w:ascii="宋体" w:hAnsi="宋体"/>
                <w:color w:val="000000"/>
                <w:szCs w:val="21"/>
              </w:rPr>
              <w:t>√</w:t>
            </w:r>
          </w:p>
        </w:tc>
        <w:tc>
          <w:tcPr>
            <w:tcW w:w="1221" w:type="dxa"/>
            <w:vAlign w:val="center"/>
          </w:tcPr>
          <w:p>
            <w:pPr>
              <w:tabs>
                <w:tab w:val="left" w:pos="9135"/>
              </w:tabs>
              <w:jc w:val="center"/>
              <w:rPr>
                <w:rFonts w:ascii="宋体"/>
              </w:rPr>
            </w:pPr>
            <w:r>
              <w:rPr>
                <w:rFonts w:hint="eastAsia" w:ascii="宋体" w:hAnsi="宋体"/>
                <w:color w:val="000000"/>
                <w:szCs w:val="21"/>
              </w:rPr>
              <w:t>√</w:t>
            </w:r>
          </w:p>
        </w:tc>
        <w:tc>
          <w:tcPr>
            <w:tcW w:w="1146" w:type="dxa"/>
            <w:vAlign w:val="center"/>
          </w:tcPr>
          <w:p>
            <w:pPr>
              <w:tabs>
                <w:tab w:val="left" w:pos="9135"/>
              </w:tabs>
              <w:jc w:val="center"/>
              <w:rPr>
                <w:rFonts w:ascii="宋体"/>
              </w:rPr>
            </w:pPr>
            <w:r>
              <w:rPr>
                <w:rFonts w:hint="eastAsia" w:ascii="宋体" w:hAnsi="宋体"/>
                <w:color w:val="000000"/>
                <w:szCs w:val="21"/>
              </w:rPr>
              <w:t>√</w:t>
            </w:r>
          </w:p>
        </w:tc>
        <w:tc>
          <w:tcPr>
            <w:tcW w:w="955" w:type="dxa"/>
            <w:vAlign w:val="center"/>
          </w:tcPr>
          <w:p>
            <w:pPr>
              <w:tabs>
                <w:tab w:val="left" w:pos="9135"/>
              </w:tabs>
              <w:jc w:val="center"/>
              <w:rPr>
                <w:rFonts w:ascii="宋体"/>
              </w:rPr>
            </w:pPr>
            <w:r>
              <w:rPr>
                <w:rFonts w:hint="eastAsia" w:ascii="宋体" w:hAnsi="宋体"/>
                <w:color w:val="000000"/>
                <w:szCs w:val="21"/>
              </w:rPr>
              <w:t>√</w:t>
            </w:r>
          </w:p>
        </w:tc>
        <w:tc>
          <w:tcPr>
            <w:tcW w:w="896" w:type="dxa"/>
            <w:vAlign w:val="center"/>
          </w:tcPr>
          <w:p>
            <w:pPr>
              <w:tabs>
                <w:tab w:val="left" w:pos="9135"/>
              </w:tabs>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5" w:type="dxa"/>
            <w:vAlign w:val="center"/>
          </w:tcPr>
          <w:p>
            <w:pPr>
              <w:tabs>
                <w:tab w:val="left" w:pos="9135"/>
              </w:tabs>
              <w:jc w:val="center"/>
              <w:rPr>
                <w:rFonts w:ascii="宋体"/>
              </w:rPr>
            </w:pPr>
            <w:r>
              <w:rPr>
                <w:rFonts w:hint="eastAsia" w:ascii="宋体"/>
              </w:rPr>
              <w:t>校园网络</w:t>
            </w:r>
          </w:p>
          <w:p>
            <w:pPr>
              <w:tabs>
                <w:tab w:val="left" w:pos="9135"/>
              </w:tabs>
              <w:jc w:val="center"/>
              <w:rPr>
                <w:rFonts w:ascii="宋体"/>
              </w:rPr>
            </w:pPr>
            <w:r>
              <w:rPr>
                <w:rFonts w:hint="eastAsia" w:ascii="宋体"/>
              </w:rPr>
              <w:t>终 端 数</w:t>
            </w:r>
          </w:p>
        </w:tc>
        <w:tc>
          <w:tcPr>
            <w:tcW w:w="3416" w:type="dxa"/>
            <w:gridSpan w:val="3"/>
            <w:vAlign w:val="center"/>
          </w:tcPr>
          <w:p>
            <w:pPr>
              <w:tabs>
                <w:tab w:val="left" w:pos="9135"/>
              </w:tabs>
              <w:jc w:val="center"/>
              <w:rPr>
                <w:rFonts w:ascii="宋体"/>
              </w:rPr>
            </w:pPr>
            <w:r>
              <w:rPr>
                <w:rFonts w:hint="eastAsia" w:ascii="宋体"/>
              </w:rPr>
              <w:t>483</w:t>
            </w:r>
          </w:p>
        </w:tc>
        <w:tc>
          <w:tcPr>
            <w:tcW w:w="1221" w:type="dxa"/>
            <w:vAlign w:val="center"/>
          </w:tcPr>
          <w:p>
            <w:pPr>
              <w:tabs>
                <w:tab w:val="left" w:pos="9135"/>
              </w:tabs>
              <w:jc w:val="center"/>
              <w:rPr>
                <w:rFonts w:ascii="宋体"/>
              </w:rPr>
            </w:pPr>
            <w:r>
              <w:rPr>
                <w:rFonts w:hint="eastAsia" w:ascii="宋体"/>
              </w:rPr>
              <w:t>终端数与学生数比</w:t>
            </w:r>
          </w:p>
        </w:tc>
        <w:tc>
          <w:tcPr>
            <w:tcW w:w="2997" w:type="dxa"/>
            <w:gridSpan w:val="3"/>
            <w:vAlign w:val="center"/>
          </w:tcPr>
          <w:p>
            <w:pPr>
              <w:tabs>
                <w:tab w:val="left" w:pos="9135"/>
              </w:tabs>
              <w:jc w:val="center"/>
              <w:rPr>
                <w:rFonts w:ascii="宋体"/>
              </w:rPr>
            </w:pPr>
            <w:r>
              <w:rPr>
                <w:rFonts w:hint="eastAsia" w:ascii="宋体"/>
              </w:rPr>
              <w:t>0.3</w:t>
            </w:r>
            <w:r>
              <w:rPr>
                <w:rFonts w:ascii="宋体"/>
              </w:rPr>
              <w:t>5</w:t>
            </w:r>
            <w:r>
              <w:rPr>
                <w:rFonts w:hint="eastAsia" w:asci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5" w:type="dxa"/>
            <w:vAlign w:val="center"/>
          </w:tcPr>
          <w:p>
            <w:pPr>
              <w:tabs>
                <w:tab w:val="left" w:pos="9135"/>
              </w:tabs>
              <w:jc w:val="center"/>
              <w:rPr>
                <w:rFonts w:ascii="宋体"/>
              </w:rPr>
            </w:pPr>
            <w:r>
              <w:rPr>
                <w:rFonts w:hint="eastAsia" w:ascii="宋体"/>
              </w:rPr>
              <w:t>学生用电脑数（台）</w:t>
            </w:r>
          </w:p>
        </w:tc>
        <w:tc>
          <w:tcPr>
            <w:tcW w:w="3416" w:type="dxa"/>
            <w:gridSpan w:val="3"/>
            <w:vAlign w:val="center"/>
          </w:tcPr>
          <w:p>
            <w:pPr>
              <w:tabs>
                <w:tab w:val="left" w:pos="9135"/>
              </w:tabs>
              <w:jc w:val="center"/>
              <w:rPr>
                <w:rFonts w:ascii="宋体"/>
              </w:rPr>
            </w:pPr>
            <w:r>
              <w:rPr>
                <w:rFonts w:hint="eastAsia" w:ascii="宋体"/>
              </w:rPr>
              <w:t>340</w:t>
            </w:r>
          </w:p>
        </w:tc>
        <w:tc>
          <w:tcPr>
            <w:tcW w:w="1221" w:type="dxa"/>
            <w:vAlign w:val="center"/>
          </w:tcPr>
          <w:p>
            <w:pPr>
              <w:tabs>
                <w:tab w:val="left" w:pos="9135"/>
              </w:tabs>
              <w:jc w:val="center"/>
              <w:rPr>
                <w:rFonts w:ascii="宋体"/>
              </w:rPr>
            </w:pPr>
            <w:r>
              <w:rPr>
                <w:rFonts w:hint="eastAsia" w:ascii="宋体"/>
              </w:rPr>
              <w:t>生机比</w:t>
            </w:r>
          </w:p>
        </w:tc>
        <w:tc>
          <w:tcPr>
            <w:tcW w:w="2997" w:type="dxa"/>
            <w:gridSpan w:val="3"/>
            <w:vAlign w:val="center"/>
          </w:tcPr>
          <w:p>
            <w:pPr>
              <w:tabs>
                <w:tab w:val="left" w:pos="9135"/>
              </w:tabs>
              <w:jc w:val="center"/>
              <w:rPr>
                <w:rFonts w:ascii="宋体"/>
              </w:rPr>
            </w:pPr>
            <w:r>
              <w:rPr>
                <w:rFonts w:ascii="宋体"/>
              </w:rPr>
              <w:t>4.11</w:t>
            </w:r>
            <w:r>
              <w:rPr>
                <w:rFonts w:hint="eastAsia" w:ascii="宋体"/>
              </w:rPr>
              <w:t>:1</w:t>
            </w:r>
          </w:p>
        </w:tc>
      </w:tr>
    </w:tbl>
    <w:p>
      <w:r>
        <w:rPr>
          <w:rFonts w:hint="eastAsia" w:ascii="宋体"/>
        </w:rPr>
        <w:t>注：多媒体网络教室包括多媒体网络专用教室和连接因特网的普通教室、实验室</w:t>
      </w:r>
    </w:p>
    <w:p>
      <w:pPr>
        <w:tabs>
          <w:tab w:val="left" w:pos="0"/>
        </w:tabs>
        <w:spacing w:line="560" w:lineRule="exact"/>
        <w:ind w:right="560"/>
        <w:rPr>
          <w:rFonts w:ascii="宋体"/>
          <w:b/>
          <w:sz w:val="28"/>
          <w:szCs w:val="28"/>
        </w:rPr>
      </w:pPr>
      <w:r>
        <w:rPr>
          <w:rFonts w:hint="eastAsia" w:ascii="宋体"/>
          <w:b/>
          <w:sz w:val="28"/>
          <w:szCs w:val="28"/>
        </w:rPr>
        <w:t xml:space="preserve">  4.办学规模与班额统计表 </w:t>
      </w:r>
    </w:p>
    <w:tbl>
      <w:tblPr>
        <w:tblStyle w:val="14"/>
        <w:tblW w:w="9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824"/>
        <w:gridCol w:w="964"/>
        <w:gridCol w:w="874"/>
        <w:gridCol w:w="1009"/>
        <w:gridCol w:w="964"/>
        <w:gridCol w:w="1157"/>
        <w:gridCol w:w="964"/>
        <w:gridCol w:w="66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5" w:type="dxa"/>
            <w:vMerge w:val="restart"/>
            <w:vAlign w:val="center"/>
          </w:tcPr>
          <w:p>
            <w:pPr>
              <w:tabs>
                <w:tab w:val="left" w:pos="9135"/>
              </w:tabs>
              <w:jc w:val="center"/>
              <w:rPr>
                <w:rFonts w:ascii="宋体"/>
                <w:szCs w:val="21"/>
              </w:rPr>
            </w:pPr>
            <w:r>
              <w:rPr>
                <w:rFonts w:hint="eastAsia" w:ascii="宋体"/>
                <w:szCs w:val="21"/>
              </w:rPr>
              <w:t>学年度</w:t>
            </w:r>
          </w:p>
        </w:tc>
        <w:tc>
          <w:tcPr>
            <w:tcW w:w="824" w:type="dxa"/>
            <w:vMerge w:val="restart"/>
            <w:vAlign w:val="center"/>
          </w:tcPr>
          <w:p>
            <w:pPr>
              <w:tabs>
                <w:tab w:val="left" w:pos="9135"/>
              </w:tabs>
              <w:jc w:val="center"/>
              <w:rPr>
                <w:rFonts w:ascii="宋体"/>
                <w:szCs w:val="21"/>
              </w:rPr>
            </w:pPr>
            <w:r>
              <w:rPr>
                <w:rFonts w:hint="eastAsia" w:ascii="宋体"/>
                <w:szCs w:val="21"/>
              </w:rPr>
              <w:t>年级</w:t>
            </w:r>
          </w:p>
        </w:tc>
        <w:tc>
          <w:tcPr>
            <w:tcW w:w="964" w:type="dxa"/>
            <w:vMerge w:val="restart"/>
            <w:vAlign w:val="center"/>
          </w:tcPr>
          <w:p>
            <w:pPr>
              <w:tabs>
                <w:tab w:val="left" w:pos="9135"/>
              </w:tabs>
              <w:jc w:val="center"/>
              <w:rPr>
                <w:rFonts w:ascii="宋体"/>
                <w:szCs w:val="21"/>
              </w:rPr>
            </w:pPr>
            <w:r>
              <w:rPr>
                <w:rFonts w:hint="eastAsia" w:ascii="宋体"/>
                <w:szCs w:val="21"/>
              </w:rPr>
              <w:t>计划</w:t>
            </w:r>
          </w:p>
          <w:p>
            <w:pPr>
              <w:tabs>
                <w:tab w:val="left" w:pos="9135"/>
              </w:tabs>
              <w:jc w:val="center"/>
              <w:rPr>
                <w:rFonts w:ascii="宋体"/>
                <w:szCs w:val="21"/>
              </w:rPr>
            </w:pPr>
            <w:r>
              <w:rPr>
                <w:rFonts w:hint="eastAsia" w:ascii="宋体"/>
                <w:szCs w:val="21"/>
              </w:rPr>
              <w:t>招生数</w:t>
            </w:r>
          </w:p>
        </w:tc>
        <w:tc>
          <w:tcPr>
            <w:tcW w:w="874" w:type="dxa"/>
            <w:vMerge w:val="restart"/>
            <w:vAlign w:val="center"/>
          </w:tcPr>
          <w:p>
            <w:pPr>
              <w:tabs>
                <w:tab w:val="left" w:pos="9135"/>
              </w:tabs>
              <w:jc w:val="center"/>
              <w:rPr>
                <w:rFonts w:ascii="宋体"/>
                <w:szCs w:val="21"/>
              </w:rPr>
            </w:pPr>
            <w:r>
              <w:rPr>
                <w:rFonts w:hint="eastAsia" w:ascii="宋体"/>
                <w:szCs w:val="21"/>
              </w:rPr>
              <w:t>在籍</w:t>
            </w:r>
          </w:p>
          <w:p>
            <w:pPr>
              <w:tabs>
                <w:tab w:val="left" w:pos="9135"/>
              </w:tabs>
              <w:jc w:val="center"/>
              <w:rPr>
                <w:rFonts w:ascii="宋体"/>
                <w:szCs w:val="21"/>
              </w:rPr>
            </w:pPr>
            <w:r>
              <w:rPr>
                <w:rFonts w:hint="eastAsia" w:ascii="宋体"/>
                <w:szCs w:val="21"/>
              </w:rPr>
              <w:t>生数</w:t>
            </w:r>
          </w:p>
        </w:tc>
        <w:tc>
          <w:tcPr>
            <w:tcW w:w="4094" w:type="dxa"/>
            <w:gridSpan w:val="4"/>
            <w:vAlign w:val="center"/>
          </w:tcPr>
          <w:p>
            <w:pPr>
              <w:tabs>
                <w:tab w:val="left" w:pos="9135"/>
              </w:tabs>
              <w:jc w:val="center"/>
              <w:rPr>
                <w:rFonts w:ascii="宋体"/>
                <w:szCs w:val="21"/>
              </w:rPr>
            </w:pPr>
            <w:r>
              <w:rPr>
                <w:rFonts w:hint="eastAsia" w:ascii="宋体"/>
                <w:szCs w:val="21"/>
              </w:rPr>
              <w:t>实际在校生数</w:t>
            </w:r>
          </w:p>
        </w:tc>
        <w:tc>
          <w:tcPr>
            <w:tcW w:w="664" w:type="dxa"/>
            <w:vMerge w:val="restart"/>
            <w:vAlign w:val="center"/>
          </w:tcPr>
          <w:p>
            <w:pPr>
              <w:tabs>
                <w:tab w:val="left" w:pos="9135"/>
              </w:tabs>
              <w:jc w:val="center"/>
              <w:rPr>
                <w:rFonts w:ascii="宋体"/>
                <w:szCs w:val="21"/>
              </w:rPr>
            </w:pPr>
            <w:r>
              <w:rPr>
                <w:rFonts w:hint="eastAsia" w:ascii="宋体"/>
                <w:szCs w:val="21"/>
              </w:rPr>
              <w:t>班</w:t>
            </w:r>
          </w:p>
          <w:p>
            <w:pPr>
              <w:tabs>
                <w:tab w:val="left" w:pos="9135"/>
              </w:tabs>
              <w:jc w:val="center"/>
              <w:rPr>
                <w:rFonts w:ascii="宋体"/>
                <w:szCs w:val="21"/>
              </w:rPr>
            </w:pPr>
            <w:r>
              <w:rPr>
                <w:rFonts w:hint="eastAsia" w:ascii="宋体"/>
                <w:szCs w:val="21"/>
              </w:rPr>
              <w:t>级</w:t>
            </w:r>
          </w:p>
          <w:p>
            <w:pPr>
              <w:tabs>
                <w:tab w:val="left" w:pos="9135"/>
              </w:tabs>
              <w:jc w:val="center"/>
              <w:rPr>
                <w:rFonts w:ascii="宋体"/>
                <w:szCs w:val="21"/>
              </w:rPr>
            </w:pPr>
            <w:r>
              <w:rPr>
                <w:rFonts w:hint="eastAsia" w:ascii="宋体"/>
                <w:szCs w:val="21"/>
              </w:rPr>
              <w:t>数</w:t>
            </w:r>
          </w:p>
        </w:tc>
        <w:tc>
          <w:tcPr>
            <w:tcW w:w="914" w:type="dxa"/>
            <w:vMerge w:val="restart"/>
            <w:vAlign w:val="center"/>
          </w:tcPr>
          <w:p>
            <w:pPr>
              <w:tabs>
                <w:tab w:val="left" w:pos="9135"/>
              </w:tabs>
              <w:jc w:val="center"/>
              <w:rPr>
                <w:rFonts w:ascii="宋体"/>
                <w:szCs w:val="21"/>
              </w:rPr>
            </w:pPr>
            <w:r>
              <w:rPr>
                <w:rFonts w:hint="eastAsia" w:ascii="宋体"/>
                <w:szCs w:val="21"/>
              </w:rPr>
              <w:t>班均</w:t>
            </w:r>
          </w:p>
          <w:p>
            <w:pPr>
              <w:tabs>
                <w:tab w:val="left" w:pos="9135"/>
              </w:tabs>
              <w:jc w:val="center"/>
              <w:rPr>
                <w:rFonts w:ascii="宋体"/>
                <w:szCs w:val="21"/>
              </w:rPr>
            </w:pPr>
            <w:r>
              <w:rPr>
                <w:rFonts w:hint="eastAsia" w:ascii="宋体"/>
                <w:szCs w:val="21"/>
              </w:rPr>
              <w:t>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5" w:type="dxa"/>
            <w:vMerge w:val="continue"/>
            <w:vAlign w:val="center"/>
          </w:tcPr>
          <w:p>
            <w:pPr>
              <w:tabs>
                <w:tab w:val="left" w:pos="9135"/>
              </w:tabs>
              <w:jc w:val="center"/>
              <w:rPr>
                <w:rFonts w:ascii="宋体"/>
                <w:szCs w:val="21"/>
              </w:rPr>
            </w:pPr>
          </w:p>
        </w:tc>
        <w:tc>
          <w:tcPr>
            <w:tcW w:w="824" w:type="dxa"/>
            <w:vMerge w:val="continue"/>
            <w:vAlign w:val="center"/>
          </w:tcPr>
          <w:p>
            <w:pPr>
              <w:tabs>
                <w:tab w:val="left" w:pos="9135"/>
              </w:tabs>
              <w:jc w:val="center"/>
              <w:rPr>
                <w:rFonts w:ascii="宋体"/>
                <w:szCs w:val="21"/>
              </w:rPr>
            </w:pPr>
          </w:p>
        </w:tc>
        <w:tc>
          <w:tcPr>
            <w:tcW w:w="964" w:type="dxa"/>
            <w:vMerge w:val="continue"/>
            <w:vAlign w:val="center"/>
          </w:tcPr>
          <w:p>
            <w:pPr>
              <w:tabs>
                <w:tab w:val="left" w:pos="9135"/>
              </w:tabs>
              <w:jc w:val="center"/>
              <w:rPr>
                <w:rFonts w:ascii="宋体"/>
                <w:szCs w:val="21"/>
              </w:rPr>
            </w:pPr>
          </w:p>
        </w:tc>
        <w:tc>
          <w:tcPr>
            <w:tcW w:w="874" w:type="dxa"/>
            <w:vMerge w:val="continue"/>
            <w:vAlign w:val="center"/>
          </w:tcPr>
          <w:p>
            <w:pPr>
              <w:tabs>
                <w:tab w:val="left" w:pos="9135"/>
              </w:tabs>
              <w:jc w:val="center"/>
              <w:rPr>
                <w:rFonts w:ascii="宋体"/>
                <w:szCs w:val="21"/>
              </w:rPr>
            </w:pPr>
          </w:p>
        </w:tc>
        <w:tc>
          <w:tcPr>
            <w:tcW w:w="1009" w:type="dxa"/>
            <w:vAlign w:val="center"/>
          </w:tcPr>
          <w:p>
            <w:pPr>
              <w:tabs>
                <w:tab w:val="left" w:pos="9135"/>
              </w:tabs>
              <w:jc w:val="center"/>
              <w:rPr>
                <w:rFonts w:ascii="宋体"/>
                <w:szCs w:val="21"/>
              </w:rPr>
            </w:pPr>
            <w:r>
              <w:rPr>
                <w:rFonts w:hint="eastAsia" w:ascii="宋体"/>
                <w:szCs w:val="21"/>
              </w:rPr>
              <w:t>在校借</w:t>
            </w:r>
          </w:p>
          <w:p>
            <w:pPr>
              <w:tabs>
                <w:tab w:val="left" w:pos="9135"/>
              </w:tabs>
              <w:jc w:val="center"/>
              <w:rPr>
                <w:rFonts w:ascii="宋体"/>
                <w:szCs w:val="21"/>
              </w:rPr>
            </w:pPr>
            <w:r>
              <w:rPr>
                <w:rFonts w:hint="eastAsia" w:ascii="宋体"/>
                <w:szCs w:val="21"/>
              </w:rPr>
              <w:t>读生数</w:t>
            </w:r>
          </w:p>
        </w:tc>
        <w:tc>
          <w:tcPr>
            <w:tcW w:w="964" w:type="dxa"/>
            <w:vAlign w:val="center"/>
          </w:tcPr>
          <w:p>
            <w:pPr>
              <w:tabs>
                <w:tab w:val="left" w:pos="9135"/>
              </w:tabs>
              <w:jc w:val="center"/>
              <w:rPr>
                <w:rFonts w:ascii="宋体"/>
                <w:szCs w:val="21"/>
              </w:rPr>
            </w:pPr>
            <w:r>
              <w:rPr>
                <w:rFonts w:hint="eastAsia" w:ascii="宋体"/>
                <w:szCs w:val="21"/>
              </w:rPr>
              <w:t>外出借</w:t>
            </w:r>
          </w:p>
          <w:p>
            <w:pPr>
              <w:tabs>
                <w:tab w:val="left" w:pos="9135"/>
              </w:tabs>
              <w:jc w:val="center"/>
              <w:rPr>
                <w:rFonts w:ascii="宋体"/>
                <w:szCs w:val="21"/>
              </w:rPr>
            </w:pPr>
            <w:r>
              <w:rPr>
                <w:rFonts w:hint="eastAsia" w:ascii="宋体"/>
                <w:szCs w:val="21"/>
              </w:rPr>
              <w:t>读生数</w:t>
            </w:r>
          </w:p>
        </w:tc>
        <w:tc>
          <w:tcPr>
            <w:tcW w:w="1157" w:type="dxa"/>
            <w:vAlign w:val="center"/>
          </w:tcPr>
          <w:p>
            <w:pPr>
              <w:tabs>
                <w:tab w:val="left" w:pos="9135"/>
              </w:tabs>
              <w:jc w:val="center"/>
              <w:rPr>
                <w:rFonts w:ascii="宋体"/>
                <w:szCs w:val="21"/>
              </w:rPr>
            </w:pPr>
            <w:r>
              <w:rPr>
                <w:rFonts w:hint="eastAsia" w:ascii="宋体"/>
                <w:szCs w:val="21"/>
              </w:rPr>
              <w:t>外国籍</w:t>
            </w:r>
          </w:p>
          <w:p>
            <w:pPr>
              <w:tabs>
                <w:tab w:val="left" w:pos="9135"/>
              </w:tabs>
              <w:jc w:val="center"/>
              <w:rPr>
                <w:rFonts w:ascii="宋体"/>
                <w:szCs w:val="21"/>
              </w:rPr>
            </w:pPr>
            <w:r>
              <w:rPr>
                <w:rFonts w:hint="eastAsia" w:ascii="宋体"/>
                <w:szCs w:val="21"/>
              </w:rPr>
              <w:t>学生数</w:t>
            </w:r>
          </w:p>
        </w:tc>
        <w:tc>
          <w:tcPr>
            <w:tcW w:w="964" w:type="dxa"/>
            <w:vAlign w:val="center"/>
          </w:tcPr>
          <w:p>
            <w:pPr>
              <w:tabs>
                <w:tab w:val="left" w:pos="9135"/>
              </w:tabs>
              <w:jc w:val="center"/>
              <w:rPr>
                <w:rFonts w:ascii="宋体"/>
                <w:szCs w:val="21"/>
              </w:rPr>
            </w:pPr>
            <w:r>
              <w:rPr>
                <w:rFonts w:hint="eastAsia" w:ascii="宋体"/>
                <w:szCs w:val="21"/>
              </w:rPr>
              <w:t>合计</w:t>
            </w:r>
          </w:p>
        </w:tc>
        <w:tc>
          <w:tcPr>
            <w:tcW w:w="664" w:type="dxa"/>
            <w:vMerge w:val="continue"/>
          </w:tcPr>
          <w:p>
            <w:pPr>
              <w:tabs>
                <w:tab w:val="left" w:pos="9135"/>
              </w:tabs>
              <w:rPr>
                <w:rFonts w:ascii="宋体"/>
                <w:szCs w:val="21"/>
              </w:rPr>
            </w:pPr>
          </w:p>
        </w:tc>
        <w:tc>
          <w:tcPr>
            <w:tcW w:w="914" w:type="dxa"/>
            <w:vMerge w:val="continue"/>
          </w:tcPr>
          <w:p>
            <w:pPr>
              <w:tabs>
                <w:tab w:val="left" w:pos="9135"/>
              </w:tabs>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5" w:type="dxa"/>
            <w:vMerge w:val="restart"/>
            <w:vAlign w:val="center"/>
          </w:tcPr>
          <w:p>
            <w:pPr>
              <w:tabs>
                <w:tab w:val="left" w:pos="9135"/>
              </w:tabs>
              <w:jc w:val="center"/>
              <w:rPr>
                <w:rFonts w:ascii="宋体"/>
                <w:szCs w:val="21"/>
              </w:rPr>
            </w:pPr>
            <w:r>
              <w:rPr>
                <w:rFonts w:hint="eastAsia" w:ascii="宋体"/>
                <w:szCs w:val="21"/>
              </w:rPr>
              <w:t>2014-</w:t>
            </w:r>
          </w:p>
          <w:p>
            <w:pPr>
              <w:tabs>
                <w:tab w:val="left" w:pos="9135"/>
              </w:tabs>
              <w:jc w:val="center"/>
              <w:rPr>
                <w:rFonts w:ascii="宋体"/>
                <w:szCs w:val="21"/>
              </w:rPr>
            </w:pPr>
            <w:r>
              <w:rPr>
                <w:rFonts w:hint="eastAsia" w:ascii="宋体"/>
                <w:szCs w:val="21"/>
              </w:rPr>
              <w:t>2015</w:t>
            </w:r>
          </w:p>
        </w:tc>
        <w:tc>
          <w:tcPr>
            <w:tcW w:w="824" w:type="dxa"/>
          </w:tcPr>
          <w:p>
            <w:pPr>
              <w:tabs>
                <w:tab w:val="left" w:pos="9135"/>
              </w:tabs>
              <w:jc w:val="center"/>
              <w:rPr>
                <w:rFonts w:ascii="宋体"/>
                <w:szCs w:val="21"/>
              </w:rPr>
            </w:pPr>
            <w:r>
              <w:rPr>
                <w:rFonts w:hint="eastAsia" w:ascii="宋体"/>
                <w:szCs w:val="21"/>
              </w:rPr>
              <w:t>高一</w:t>
            </w:r>
          </w:p>
        </w:tc>
        <w:tc>
          <w:tcPr>
            <w:tcW w:w="964" w:type="dxa"/>
          </w:tcPr>
          <w:p>
            <w:pPr>
              <w:tabs>
                <w:tab w:val="left" w:pos="9135"/>
              </w:tabs>
              <w:jc w:val="center"/>
              <w:rPr>
                <w:rFonts w:ascii="宋体"/>
                <w:szCs w:val="21"/>
              </w:rPr>
            </w:pPr>
            <w:r>
              <w:rPr>
                <w:rFonts w:hint="eastAsia" w:ascii="宋体"/>
                <w:szCs w:val="21"/>
              </w:rPr>
              <w:t>480</w:t>
            </w:r>
          </w:p>
        </w:tc>
        <w:tc>
          <w:tcPr>
            <w:tcW w:w="874" w:type="dxa"/>
          </w:tcPr>
          <w:p>
            <w:pPr>
              <w:tabs>
                <w:tab w:val="left" w:pos="9135"/>
              </w:tabs>
              <w:jc w:val="center"/>
              <w:rPr>
                <w:rFonts w:ascii="宋体"/>
                <w:szCs w:val="21"/>
              </w:rPr>
            </w:pPr>
            <w:r>
              <w:rPr>
                <w:rFonts w:hint="eastAsia" w:ascii="宋体"/>
                <w:szCs w:val="21"/>
              </w:rPr>
              <w:t>440</w:t>
            </w:r>
          </w:p>
        </w:tc>
        <w:tc>
          <w:tcPr>
            <w:tcW w:w="1009"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1157"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664" w:type="dxa"/>
          </w:tcPr>
          <w:p>
            <w:pPr>
              <w:tabs>
                <w:tab w:val="left" w:pos="9135"/>
              </w:tabs>
              <w:jc w:val="center"/>
              <w:rPr>
                <w:rFonts w:ascii="宋体"/>
                <w:szCs w:val="21"/>
              </w:rPr>
            </w:pPr>
            <w:r>
              <w:rPr>
                <w:rFonts w:hint="eastAsia" w:ascii="宋体"/>
                <w:szCs w:val="21"/>
              </w:rPr>
              <w:t>10</w:t>
            </w:r>
          </w:p>
        </w:tc>
        <w:tc>
          <w:tcPr>
            <w:tcW w:w="914" w:type="dxa"/>
          </w:tcPr>
          <w:p>
            <w:pPr>
              <w:tabs>
                <w:tab w:val="left" w:pos="9135"/>
              </w:tabs>
              <w:jc w:val="center"/>
              <w:rPr>
                <w:rFonts w:ascii="宋体"/>
                <w:szCs w:val="21"/>
              </w:rPr>
            </w:pPr>
            <w:r>
              <w:rPr>
                <w:rFonts w:hint="eastAsia" w:ascii="宋体"/>
                <w:szCs w:val="21"/>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5" w:type="dxa"/>
            <w:vMerge w:val="continue"/>
            <w:vAlign w:val="center"/>
          </w:tcPr>
          <w:p>
            <w:pPr>
              <w:tabs>
                <w:tab w:val="left" w:pos="9135"/>
              </w:tabs>
              <w:jc w:val="center"/>
              <w:rPr>
                <w:rFonts w:ascii="宋体"/>
                <w:szCs w:val="21"/>
              </w:rPr>
            </w:pPr>
          </w:p>
        </w:tc>
        <w:tc>
          <w:tcPr>
            <w:tcW w:w="824" w:type="dxa"/>
          </w:tcPr>
          <w:p>
            <w:pPr>
              <w:tabs>
                <w:tab w:val="left" w:pos="9135"/>
              </w:tabs>
              <w:jc w:val="center"/>
              <w:rPr>
                <w:rFonts w:ascii="宋体"/>
                <w:szCs w:val="21"/>
              </w:rPr>
            </w:pPr>
            <w:r>
              <w:rPr>
                <w:rFonts w:hint="eastAsia" w:ascii="宋体"/>
                <w:szCs w:val="21"/>
              </w:rPr>
              <w:t>高二</w:t>
            </w:r>
          </w:p>
        </w:tc>
        <w:tc>
          <w:tcPr>
            <w:tcW w:w="964" w:type="dxa"/>
          </w:tcPr>
          <w:p>
            <w:pPr>
              <w:tabs>
                <w:tab w:val="left" w:pos="9135"/>
              </w:tabs>
              <w:jc w:val="center"/>
              <w:rPr>
                <w:rFonts w:ascii="宋体"/>
                <w:szCs w:val="21"/>
              </w:rPr>
            </w:pPr>
            <w:r>
              <w:rPr>
                <w:rFonts w:hint="eastAsia" w:ascii="宋体"/>
                <w:szCs w:val="21"/>
              </w:rPr>
              <w:t>480</w:t>
            </w:r>
          </w:p>
        </w:tc>
        <w:tc>
          <w:tcPr>
            <w:tcW w:w="874" w:type="dxa"/>
          </w:tcPr>
          <w:p>
            <w:pPr>
              <w:tabs>
                <w:tab w:val="left" w:pos="9135"/>
              </w:tabs>
              <w:jc w:val="center"/>
              <w:rPr>
                <w:rFonts w:ascii="宋体"/>
                <w:szCs w:val="21"/>
              </w:rPr>
            </w:pPr>
            <w:r>
              <w:rPr>
                <w:rFonts w:hint="eastAsia" w:ascii="宋体"/>
                <w:szCs w:val="21"/>
              </w:rPr>
              <w:t>431</w:t>
            </w:r>
          </w:p>
        </w:tc>
        <w:tc>
          <w:tcPr>
            <w:tcW w:w="1009"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1157"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664" w:type="dxa"/>
          </w:tcPr>
          <w:p>
            <w:pPr>
              <w:tabs>
                <w:tab w:val="left" w:pos="9135"/>
              </w:tabs>
              <w:jc w:val="center"/>
              <w:rPr>
                <w:rFonts w:ascii="宋体"/>
                <w:szCs w:val="21"/>
              </w:rPr>
            </w:pPr>
            <w:r>
              <w:rPr>
                <w:rFonts w:hint="eastAsia" w:ascii="宋体"/>
                <w:szCs w:val="21"/>
              </w:rPr>
              <w:t>10</w:t>
            </w:r>
          </w:p>
        </w:tc>
        <w:tc>
          <w:tcPr>
            <w:tcW w:w="914" w:type="dxa"/>
          </w:tcPr>
          <w:p>
            <w:pPr>
              <w:tabs>
                <w:tab w:val="left" w:pos="9135"/>
              </w:tabs>
              <w:jc w:val="center"/>
              <w:rPr>
                <w:rFonts w:ascii="宋体"/>
                <w:szCs w:val="21"/>
              </w:rPr>
            </w:pPr>
            <w:r>
              <w:rPr>
                <w:rFonts w:hint="eastAsia" w:ascii="宋体"/>
                <w:szCs w:val="21"/>
              </w:rPr>
              <w:t>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5" w:type="dxa"/>
            <w:vMerge w:val="continue"/>
            <w:vAlign w:val="center"/>
          </w:tcPr>
          <w:p>
            <w:pPr>
              <w:tabs>
                <w:tab w:val="left" w:pos="9135"/>
              </w:tabs>
              <w:jc w:val="center"/>
              <w:rPr>
                <w:rFonts w:ascii="宋体"/>
                <w:szCs w:val="21"/>
              </w:rPr>
            </w:pPr>
          </w:p>
        </w:tc>
        <w:tc>
          <w:tcPr>
            <w:tcW w:w="824" w:type="dxa"/>
          </w:tcPr>
          <w:p>
            <w:pPr>
              <w:tabs>
                <w:tab w:val="left" w:pos="9135"/>
              </w:tabs>
              <w:jc w:val="center"/>
              <w:rPr>
                <w:rFonts w:ascii="宋体"/>
                <w:szCs w:val="21"/>
              </w:rPr>
            </w:pPr>
            <w:r>
              <w:rPr>
                <w:rFonts w:hint="eastAsia" w:ascii="宋体"/>
                <w:szCs w:val="21"/>
              </w:rPr>
              <w:t>高三</w:t>
            </w:r>
          </w:p>
        </w:tc>
        <w:tc>
          <w:tcPr>
            <w:tcW w:w="964" w:type="dxa"/>
          </w:tcPr>
          <w:p>
            <w:pPr>
              <w:tabs>
                <w:tab w:val="left" w:pos="9135"/>
              </w:tabs>
              <w:jc w:val="center"/>
              <w:rPr>
                <w:rFonts w:ascii="宋体"/>
                <w:szCs w:val="21"/>
              </w:rPr>
            </w:pPr>
            <w:r>
              <w:rPr>
                <w:rFonts w:hint="eastAsia" w:ascii="宋体"/>
                <w:szCs w:val="21"/>
              </w:rPr>
              <w:t>454</w:t>
            </w:r>
          </w:p>
        </w:tc>
        <w:tc>
          <w:tcPr>
            <w:tcW w:w="874" w:type="dxa"/>
          </w:tcPr>
          <w:p>
            <w:pPr>
              <w:tabs>
                <w:tab w:val="left" w:pos="9135"/>
              </w:tabs>
              <w:jc w:val="center"/>
              <w:rPr>
                <w:rFonts w:ascii="宋体"/>
                <w:szCs w:val="21"/>
              </w:rPr>
            </w:pPr>
            <w:r>
              <w:rPr>
                <w:rFonts w:hint="eastAsia" w:ascii="宋体"/>
                <w:szCs w:val="21"/>
              </w:rPr>
              <w:t>385</w:t>
            </w:r>
          </w:p>
        </w:tc>
        <w:tc>
          <w:tcPr>
            <w:tcW w:w="1009"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1157"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664" w:type="dxa"/>
          </w:tcPr>
          <w:p>
            <w:pPr>
              <w:tabs>
                <w:tab w:val="left" w:pos="9135"/>
              </w:tabs>
              <w:jc w:val="center"/>
              <w:rPr>
                <w:rFonts w:ascii="宋体"/>
                <w:szCs w:val="21"/>
              </w:rPr>
            </w:pPr>
            <w:r>
              <w:rPr>
                <w:rFonts w:hint="eastAsia" w:ascii="宋体"/>
                <w:szCs w:val="21"/>
              </w:rPr>
              <w:t>10</w:t>
            </w:r>
          </w:p>
        </w:tc>
        <w:tc>
          <w:tcPr>
            <w:tcW w:w="914" w:type="dxa"/>
          </w:tcPr>
          <w:p>
            <w:pPr>
              <w:tabs>
                <w:tab w:val="left" w:pos="9135"/>
              </w:tabs>
              <w:jc w:val="center"/>
              <w:rPr>
                <w:rFonts w:ascii="宋体"/>
                <w:szCs w:val="21"/>
              </w:rPr>
            </w:pPr>
            <w:r>
              <w:rPr>
                <w:rFonts w:hint="eastAsia" w:ascii="宋体"/>
                <w:szCs w:val="21"/>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5" w:type="dxa"/>
            <w:vMerge w:val="continue"/>
            <w:vAlign w:val="center"/>
          </w:tcPr>
          <w:p>
            <w:pPr>
              <w:tabs>
                <w:tab w:val="left" w:pos="9135"/>
              </w:tabs>
              <w:jc w:val="center"/>
              <w:rPr>
                <w:rFonts w:ascii="宋体"/>
                <w:szCs w:val="21"/>
              </w:rPr>
            </w:pPr>
          </w:p>
        </w:tc>
        <w:tc>
          <w:tcPr>
            <w:tcW w:w="824" w:type="dxa"/>
          </w:tcPr>
          <w:p>
            <w:pPr>
              <w:tabs>
                <w:tab w:val="left" w:pos="9135"/>
              </w:tabs>
              <w:jc w:val="center"/>
              <w:rPr>
                <w:rFonts w:ascii="宋体"/>
                <w:szCs w:val="21"/>
              </w:rPr>
            </w:pPr>
            <w:r>
              <w:rPr>
                <w:rFonts w:hint="eastAsia" w:ascii="宋体"/>
                <w:szCs w:val="21"/>
              </w:rPr>
              <w:t>合计</w:t>
            </w:r>
          </w:p>
        </w:tc>
        <w:tc>
          <w:tcPr>
            <w:tcW w:w="964" w:type="dxa"/>
          </w:tcPr>
          <w:p>
            <w:pPr>
              <w:tabs>
                <w:tab w:val="left" w:pos="9135"/>
              </w:tabs>
              <w:jc w:val="center"/>
              <w:rPr>
                <w:rFonts w:ascii="宋体"/>
                <w:szCs w:val="21"/>
              </w:rPr>
            </w:pPr>
            <w:r>
              <w:rPr>
                <w:rFonts w:hint="eastAsia" w:ascii="宋体"/>
                <w:szCs w:val="21"/>
              </w:rPr>
              <w:t>1414</w:t>
            </w:r>
          </w:p>
        </w:tc>
        <w:tc>
          <w:tcPr>
            <w:tcW w:w="874" w:type="dxa"/>
          </w:tcPr>
          <w:p>
            <w:pPr>
              <w:tabs>
                <w:tab w:val="left" w:pos="9135"/>
              </w:tabs>
              <w:jc w:val="center"/>
              <w:rPr>
                <w:rFonts w:ascii="宋体"/>
                <w:szCs w:val="21"/>
              </w:rPr>
            </w:pPr>
            <w:r>
              <w:rPr>
                <w:rFonts w:hint="eastAsia" w:ascii="宋体"/>
                <w:szCs w:val="21"/>
              </w:rPr>
              <w:t>1256</w:t>
            </w:r>
          </w:p>
        </w:tc>
        <w:tc>
          <w:tcPr>
            <w:tcW w:w="1009"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1157"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664" w:type="dxa"/>
          </w:tcPr>
          <w:p>
            <w:pPr>
              <w:tabs>
                <w:tab w:val="left" w:pos="9135"/>
              </w:tabs>
              <w:jc w:val="center"/>
              <w:rPr>
                <w:rFonts w:ascii="宋体"/>
                <w:szCs w:val="21"/>
              </w:rPr>
            </w:pPr>
            <w:r>
              <w:rPr>
                <w:rFonts w:hint="eastAsia" w:ascii="宋体"/>
                <w:szCs w:val="21"/>
              </w:rPr>
              <w:t>30</w:t>
            </w:r>
          </w:p>
        </w:tc>
        <w:tc>
          <w:tcPr>
            <w:tcW w:w="914" w:type="dxa"/>
          </w:tcPr>
          <w:p>
            <w:pPr>
              <w:tabs>
                <w:tab w:val="left" w:pos="9135"/>
              </w:tabs>
              <w:jc w:val="center"/>
              <w:rPr>
                <w:rFonts w:ascii="宋体"/>
                <w:szCs w:val="21"/>
              </w:rPr>
            </w:pPr>
            <w:r>
              <w:rPr>
                <w:rFonts w:hint="eastAsia" w:ascii="宋体"/>
                <w:szCs w:val="21"/>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5" w:type="dxa"/>
            <w:vMerge w:val="restart"/>
            <w:vAlign w:val="center"/>
          </w:tcPr>
          <w:p>
            <w:pPr>
              <w:tabs>
                <w:tab w:val="left" w:pos="9135"/>
              </w:tabs>
              <w:jc w:val="center"/>
              <w:rPr>
                <w:rFonts w:ascii="宋体"/>
                <w:szCs w:val="21"/>
              </w:rPr>
            </w:pPr>
            <w:r>
              <w:rPr>
                <w:rFonts w:hint="eastAsia" w:ascii="宋体"/>
                <w:szCs w:val="21"/>
              </w:rPr>
              <w:t>2015-</w:t>
            </w:r>
          </w:p>
          <w:p>
            <w:pPr>
              <w:tabs>
                <w:tab w:val="left" w:pos="9135"/>
              </w:tabs>
              <w:jc w:val="center"/>
              <w:rPr>
                <w:rFonts w:ascii="宋体"/>
                <w:szCs w:val="21"/>
              </w:rPr>
            </w:pPr>
            <w:r>
              <w:rPr>
                <w:rFonts w:hint="eastAsia" w:ascii="宋体"/>
                <w:szCs w:val="21"/>
              </w:rPr>
              <w:t>2016</w:t>
            </w:r>
          </w:p>
        </w:tc>
        <w:tc>
          <w:tcPr>
            <w:tcW w:w="824" w:type="dxa"/>
          </w:tcPr>
          <w:p>
            <w:pPr>
              <w:tabs>
                <w:tab w:val="left" w:pos="9135"/>
              </w:tabs>
              <w:jc w:val="center"/>
              <w:rPr>
                <w:rFonts w:ascii="宋体"/>
                <w:szCs w:val="21"/>
              </w:rPr>
            </w:pPr>
            <w:r>
              <w:rPr>
                <w:rFonts w:hint="eastAsia" w:ascii="宋体"/>
                <w:szCs w:val="21"/>
              </w:rPr>
              <w:t>高一</w:t>
            </w:r>
          </w:p>
        </w:tc>
        <w:tc>
          <w:tcPr>
            <w:tcW w:w="964" w:type="dxa"/>
          </w:tcPr>
          <w:p>
            <w:pPr>
              <w:tabs>
                <w:tab w:val="left" w:pos="9135"/>
              </w:tabs>
              <w:jc w:val="center"/>
              <w:rPr>
                <w:rFonts w:ascii="宋体"/>
                <w:szCs w:val="21"/>
              </w:rPr>
            </w:pPr>
            <w:r>
              <w:rPr>
                <w:rFonts w:hint="eastAsia" w:ascii="宋体"/>
                <w:szCs w:val="21"/>
              </w:rPr>
              <w:t>480</w:t>
            </w:r>
          </w:p>
        </w:tc>
        <w:tc>
          <w:tcPr>
            <w:tcW w:w="874" w:type="dxa"/>
          </w:tcPr>
          <w:p>
            <w:pPr>
              <w:tabs>
                <w:tab w:val="left" w:pos="9135"/>
              </w:tabs>
              <w:jc w:val="center"/>
              <w:rPr>
                <w:rFonts w:ascii="宋体"/>
                <w:szCs w:val="21"/>
              </w:rPr>
            </w:pPr>
            <w:r>
              <w:rPr>
                <w:rFonts w:hint="eastAsia" w:ascii="宋体"/>
                <w:szCs w:val="21"/>
              </w:rPr>
              <w:t>462</w:t>
            </w:r>
          </w:p>
        </w:tc>
        <w:tc>
          <w:tcPr>
            <w:tcW w:w="1009"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1157"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664" w:type="dxa"/>
          </w:tcPr>
          <w:p>
            <w:pPr>
              <w:tabs>
                <w:tab w:val="left" w:pos="9135"/>
              </w:tabs>
              <w:jc w:val="center"/>
              <w:rPr>
                <w:rFonts w:ascii="宋体"/>
                <w:szCs w:val="21"/>
              </w:rPr>
            </w:pPr>
            <w:r>
              <w:rPr>
                <w:rFonts w:hint="eastAsia" w:ascii="宋体"/>
                <w:szCs w:val="21"/>
              </w:rPr>
              <w:t>10</w:t>
            </w:r>
          </w:p>
        </w:tc>
        <w:tc>
          <w:tcPr>
            <w:tcW w:w="914" w:type="dxa"/>
          </w:tcPr>
          <w:p>
            <w:pPr>
              <w:tabs>
                <w:tab w:val="left" w:pos="9135"/>
              </w:tabs>
              <w:jc w:val="center"/>
              <w:rPr>
                <w:rFonts w:ascii="宋体"/>
                <w:szCs w:val="21"/>
              </w:rPr>
            </w:pPr>
            <w:r>
              <w:rPr>
                <w:rFonts w:hint="eastAsia" w:ascii="宋体"/>
                <w:szCs w:val="21"/>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5" w:type="dxa"/>
            <w:vMerge w:val="continue"/>
            <w:vAlign w:val="center"/>
          </w:tcPr>
          <w:p>
            <w:pPr>
              <w:tabs>
                <w:tab w:val="left" w:pos="9135"/>
              </w:tabs>
              <w:jc w:val="center"/>
              <w:rPr>
                <w:rFonts w:ascii="宋体"/>
                <w:szCs w:val="21"/>
              </w:rPr>
            </w:pPr>
          </w:p>
        </w:tc>
        <w:tc>
          <w:tcPr>
            <w:tcW w:w="824" w:type="dxa"/>
          </w:tcPr>
          <w:p>
            <w:pPr>
              <w:tabs>
                <w:tab w:val="left" w:pos="9135"/>
              </w:tabs>
              <w:jc w:val="center"/>
              <w:rPr>
                <w:rFonts w:ascii="宋体"/>
                <w:szCs w:val="21"/>
              </w:rPr>
            </w:pPr>
            <w:r>
              <w:rPr>
                <w:rFonts w:hint="eastAsia" w:ascii="宋体"/>
                <w:szCs w:val="21"/>
              </w:rPr>
              <w:t>高二</w:t>
            </w:r>
          </w:p>
        </w:tc>
        <w:tc>
          <w:tcPr>
            <w:tcW w:w="964" w:type="dxa"/>
          </w:tcPr>
          <w:p>
            <w:pPr>
              <w:tabs>
                <w:tab w:val="left" w:pos="9135"/>
              </w:tabs>
              <w:jc w:val="center"/>
              <w:rPr>
                <w:rFonts w:ascii="宋体"/>
                <w:szCs w:val="21"/>
              </w:rPr>
            </w:pPr>
            <w:r>
              <w:rPr>
                <w:rFonts w:hint="eastAsia" w:ascii="宋体"/>
                <w:szCs w:val="21"/>
              </w:rPr>
              <w:t>480</w:t>
            </w:r>
          </w:p>
        </w:tc>
        <w:tc>
          <w:tcPr>
            <w:tcW w:w="874" w:type="dxa"/>
          </w:tcPr>
          <w:p>
            <w:pPr>
              <w:tabs>
                <w:tab w:val="left" w:pos="9135"/>
              </w:tabs>
              <w:jc w:val="center"/>
              <w:rPr>
                <w:rFonts w:ascii="宋体"/>
                <w:szCs w:val="21"/>
              </w:rPr>
            </w:pPr>
            <w:r>
              <w:rPr>
                <w:rFonts w:hint="eastAsia" w:ascii="宋体"/>
                <w:szCs w:val="21"/>
              </w:rPr>
              <w:t>438</w:t>
            </w:r>
          </w:p>
        </w:tc>
        <w:tc>
          <w:tcPr>
            <w:tcW w:w="1009"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1157"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664" w:type="dxa"/>
          </w:tcPr>
          <w:p>
            <w:pPr>
              <w:tabs>
                <w:tab w:val="left" w:pos="9135"/>
              </w:tabs>
              <w:jc w:val="center"/>
              <w:rPr>
                <w:rFonts w:ascii="宋体"/>
                <w:szCs w:val="21"/>
              </w:rPr>
            </w:pPr>
            <w:r>
              <w:rPr>
                <w:rFonts w:hint="eastAsia" w:ascii="宋体"/>
                <w:szCs w:val="21"/>
              </w:rPr>
              <w:t>10</w:t>
            </w:r>
          </w:p>
        </w:tc>
        <w:tc>
          <w:tcPr>
            <w:tcW w:w="914" w:type="dxa"/>
          </w:tcPr>
          <w:p>
            <w:pPr>
              <w:tabs>
                <w:tab w:val="left" w:pos="9135"/>
              </w:tabs>
              <w:jc w:val="center"/>
              <w:rPr>
                <w:rFonts w:ascii="宋体"/>
                <w:szCs w:val="21"/>
              </w:rPr>
            </w:pPr>
            <w:r>
              <w:rPr>
                <w:rFonts w:hint="eastAsia" w:ascii="宋体"/>
                <w:szCs w:val="21"/>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5" w:type="dxa"/>
            <w:vMerge w:val="continue"/>
            <w:vAlign w:val="center"/>
          </w:tcPr>
          <w:p>
            <w:pPr>
              <w:tabs>
                <w:tab w:val="left" w:pos="9135"/>
              </w:tabs>
              <w:jc w:val="center"/>
              <w:rPr>
                <w:rFonts w:ascii="宋体"/>
                <w:szCs w:val="21"/>
              </w:rPr>
            </w:pPr>
          </w:p>
        </w:tc>
        <w:tc>
          <w:tcPr>
            <w:tcW w:w="824" w:type="dxa"/>
          </w:tcPr>
          <w:p>
            <w:pPr>
              <w:tabs>
                <w:tab w:val="left" w:pos="9135"/>
              </w:tabs>
              <w:jc w:val="center"/>
              <w:rPr>
                <w:rFonts w:ascii="宋体"/>
                <w:szCs w:val="21"/>
              </w:rPr>
            </w:pPr>
            <w:r>
              <w:rPr>
                <w:rFonts w:hint="eastAsia" w:ascii="宋体"/>
                <w:szCs w:val="21"/>
              </w:rPr>
              <w:t>高三</w:t>
            </w:r>
          </w:p>
        </w:tc>
        <w:tc>
          <w:tcPr>
            <w:tcW w:w="964" w:type="dxa"/>
          </w:tcPr>
          <w:p>
            <w:pPr>
              <w:tabs>
                <w:tab w:val="left" w:pos="9135"/>
              </w:tabs>
              <w:jc w:val="center"/>
              <w:rPr>
                <w:rFonts w:ascii="宋体"/>
                <w:szCs w:val="21"/>
              </w:rPr>
            </w:pPr>
            <w:r>
              <w:rPr>
                <w:rFonts w:hint="eastAsia" w:ascii="宋体"/>
                <w:szCs w:val="21"/>
              </w:rPr>
              <w:t>480</w:t>
            </w:r>
          </w:p>
        </w:tc>
        <w:tc>
          <w:tcPr>
            <w:tcW w:w="874" w:type="dxa"/>
          </w:tcPr>
          <w:p>
            <w:pPr>
              <w:tabs>
                <w:tab w:val="left" w:pos="9135"/>
              </w:tabs>
              <w:jc w:val="center"/>
              <w:rPr>
                <w:rFonts w:ascii="宋体"/>
                <w:szCs w:val="21"/>
              </w:rPr>
            </w:pPr>
            <w:r>
              <w:rPr>
                <w:rFonts w:hint="eastAsia" w:ascii="宋体"/>
                <w:szCs w:val="21"/>
              </w:rPr>
              <w:t>430</w:t>
            </w:r>
          </w:p>
        </w:tc>
        <w:tc>
          <w:tcPr>
            <w:tcW w:w="1009"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1157"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664" w:type="dxa"/>
          </w:tcPr>
          <w:p>
            <w:pPr>
              <w:tabs>
                <w:tab w:val="left" w:pos="9135"/>
              </w:tabs>
              <w:jc w:val="center"/>
              <w:rPr>
                <w:rFonts w:ascii="宋体"/>
                <w:szCs w:val="21"/>
              </w:rPr>
            </w:pPr>
            <w:r>
              <w:rPr>
                <w:rFonts w:hint="eastAsia" w:ascii="宋体"/>
                <w:szCs w:val="21"/>
              </w:rPr>
              <w:t>10</w:t>
            </w:r>
          </w:p>
        </w:tc>
        <w:tc>
          <w:tcPr>
            <w:tcW w:w="914" w:type="dxa"/>
          </w:tcPr>
          <w:p>
            <w:pPr>
              <w:tabs>
                <w:tab w:val="left" w:pos="9135"/>
              </w:tabs>
              <w:jc w:val="center"/>
              <w:rPr>
                <w:rFonts w:ascii="宋体"/>
                <w:szCs w:val="21"/>
              </w:rPr>
            </w:pPr>
            <w:r>
              <w:rPr>
                <w:rFonts w:hint="eastAsia" w:ascii="宋体"/>
                <w:szCs w:val="21"/>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5" w:type="dxa"/>
            <w:vMerge w:val="continue"/>
            <w:vAlign w:val="center"/>
          </w:tcPr>
          <w:p>
            <w:pPr>
              <w:tabs>
                <w:tab w:val="left" w:pos="9135"/>
              </w:tabs>
              <w:jc w:val="center"/>
              <w:rPr>
                <w:rFonts w:ascii="宋体"/>
                <w:szCs w:val="21"/>
              </w:rPr>
            </w:pPr>
          </w:p>
        </w:tc>
        <w:tc>
          <w:tcPr>
            <w:tcW w:w="824" w:type="dxa"/>
          </w:tcPr>
          <w:p>
            <w:pPr>
              <w:tabs>
                <w:tab w:val="left" w:pos="9135"/>
              </w:tabs>
              <w:jc w:val="center"/>
              <w:rPr>
                <w:rFonts w:ascii="宋体"/>
                <w:szCs w:val="21"/>
              </w:rPr>
            </w:pPr>
            <w:r>
              <w:rPr>
                <w:rFonts w:hint="eastAsia" w:ascii="宋体"/>
                <w:szCs w:val="21"/>
              </w:rPr>
              <w:t>合计</w:t>
            </w:r>
          </w:p>
        </w:tc>
        <w:tc>
          <w:tcPr>
            <w:tcW w:w="964" w:type="dxa"/>
          </w:tcPr>
          <w:p>
            <w:pPr>
              <w:tabs>
                <w:tab w:val="left" w:pos="9135"/>
              </w:tabs>
              <w:jc w:val="center"/>
              <w:rPr>
                <w:rFonts w:ascii="宋体"/>
                <w:szCs w:val="21"/>
              </w:rPr>
            </w:pPr>
            <w:r>
              <w:rPr>
                <w:rFonts w:hint="eastAsia" w:ascii="宋体"/>
                <w:szCs w:val="21"/>
              </w:rPr>
              <w:t>1440</w:t>
            </w:r>
          </w:p>
        </w:tc>
        <w:tc>
          <w:tcPr>
            <w:tcW w:w="874" w:type="dxa"/>
          </w:tcPr>
          <w:p>
            <w:pPr>
              <w:tabs>
                <w:tab w:val="left" w:pos="9135"/>
              </w:tabs>
              <w:jc w:val="center"/>
              <w:rPr>
                <w:rFonts w:ascii="宋体"/>
                <w:szCs w:val="21"/>
              </w:rPr>
            </w:pPr>
            <w:r>
              <w:rPr>
                <w:rFonts w:hint="eastAsia" w:ascii="宋体"/>
                <w:szCs w:val="21"/>
              </w:rPr>
              <w:t>1330</w:t>
            </w:r>
          </w:p>
        </w:tc>
        <w:tc>
          <w:tcPr>
            <w:tcW w:w="1009"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1157"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664" w:type="dxa"/>
          </w:tcPr>
          <w:p>
            <w:pPr>
              <w:tabs>
                <w:tab w:val="left" w:pos="9135"/>
              </w:tabs>
              <w:jc w:val="center"/>
              <w:rPr>
                <w:rFonts w:ascii="宋体"/>
                <w:szCs w:val="21"/>
              </w:rPr>
            </w:pPr>
            <w:r>
              <w:rPr>
                <w:rFonts w:hint="eastAsia" w:ascii="宋体"/>
                <w:szCs w:val="21"/>
              </w:rPr>
              <w:t>30</w:t>
            </w:r>
          </w:p>
        </w:tc>
        <w:tc>
          <w:tcPr>
            <w:tcW w:w="914" w:type="dxa"/>
          </w:tcPr>
          <w:p>
            <w:pPr>
              <w:tabs>
                <w:tab w:val="left" w:pos="9135"/>
              </w:tabs>
              <w:jc w:val="center"/>
              <w:rPr>
                <w:rFonts w:ascii="宋体"/>
                <w:szCs w:val="21"/>
              </w:rPr>
            </w:pPr>
            <w:r>
              <w:rPr>
                <w:rFonts w:hint="eastAsia" w:ascii="宋体"/>
                <w:szCs w:val="21"/>
              </w:rP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5" w:type="dxa"/>
            <w:vMerge w:val="restart"/>
            <w:vAlign w:val="center"/>
          </w:tcPr>
          <w:p>
            <w:pPr>
              <w:tabs>
                <w:tab w:val="left" w:pos="9135"/>
              </w:tabs>
              <w:jc w:val="center"/>
              <w:rPr>
                <w:rFonts w:ascii="宋体"/>
                <w:szCs w:val="21"/>
              </w:rPr>
            </w:pPr>
            <w:r>
              <w:rPr>
                <w:rFonts w:hint="eastAsia" w:ascii="宋体"/>
                <w:szCs w:val="21"/>
              </w:rPr>
              <w:t>2016-</w:t>
            </w:r>
          </w:p>
          <w:p>
            <w:pPr>
              <w:tabs>
                <w:tab w:val="left" w:pos="9135"/>
              </w:tabs>
              <w:jc w:val="center"/>
              <w:rPr>
                <w:rFonts w:ascii="宋体"/>
                <w:szCs w:val="21"/>
              </w:rPr>
            </w:pPr>
            <w:r>
              <w:rPr>
                <w:rFonts w:hint="eastAsia" w:ascii="宋体"/>
                <w:szCs w:val="21"/>
              </w:rPr>
              <w:t>2017</w:t>
            </w:r>
          </w:p>
        </w:tc>
        <w:tc>
          <w:tcPr>
            <w:tcW w:w="824" w:type="dxa"/>
          </w:tcPr>
          <w:p>
            <w:pPr>
              <w:tabs>
                <w:tab w:val="left" w:pos="9135"/>
              </w:tabs>
              <w:jc w:val="center"/>
              <w:rPr>
                <w:rFonts w:ascii="宋体"/>
                <w:szCs w:val="21"/>
              </w:rPr>
            </w:pPr>
            <w:r>
              <w:rPr>
                <w:rFonts w:hint="eastAsia" w:ascii="宋体"/>
                <w:szCs w:val="21"/>
              </w:rPr>
              <w:t>高一</w:t>
            </w:r>
          </w:p>
        </w:tc>
        <w:tc>
          <w:tcPr>
            <w:tcW w:w="964" w:type="dxa"/>
          </w:tcPr>
          <w:p>
            <w:pPr>
              <w:tabs>
                <w:tab w:val="left" w:pos="9135"/>
              </w:tabs>
              <w:jc w:val="center"/>
              <w:rPr>
                <w:rFonts w:ascii="宋体"/>
                <w:szCs w:val="21"/>
              </w:rPr>
            </w:pPr>
            <w:r>
              <w:rPr>
                <w:rFonts w:hint="eastAsia" w:ascii="宋体"/>
                <w:szCs w:val="21"/>
              </w:rPr>
              <w:t>480</w:t>
            </w:r>
          </w:p>
        </w:tc>
        <w:tc>
          <w:tcPr>
            <w:tcW w:w="874" w:type="dxa"/>
          </w:tcPr>
          <w:p>
            <w:pPr>
              <w:tabs>
                <w:tab w:val="left" w:pos="9135"/>
              </w:tabs>
              <w:jc w:val="center"/>
              <w:rPr>
                <w:rFonts w:ascii="宋体"/>
                <w:szCs w:val="21"/>
              </w:rPr>
            </w:pPr>
            <w:r>
              <w:rPr>
                <w:rFonts w:hint="eastAsia" w:ascii="宋体"/>
                <w:szCs w:val="21"/>
              </w:rPr>
              <w:t>473</w:t>
            </w:r>
          </w:p>
        </w:tc>
        <w:tc>
          <w:tcPr>
            <w:tcW w:w="1009"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1157"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664" w:type="dxa"/>
          </w:tcPr>
          <w:p>
            <w:pPr>
              <w:tabs>
                <w:tab w:val="left" w:pos="9135"/>
              </w:tabs>
              <w:jc w:val="center"/>
              <w:rPr>
                <w:rFonts w:ascii="宋体"/>
                <w:szCs w:val="21"/>
              </w:rPr>
            </w:pPr>
            <w:r>
              <w:rPr>
                <w:rFonts w:hint="eastAsia" w:ascii="宋体"/>
                <w:szCs w:val="21"/>
              </w:rPr>
              <w:t>10</w:t>
            </w:r>
          </w:p>
        </w:tc>
        <w:tc>
          <w:tcPr>
            <w:tcW w:w="914" w:type="dxa"/>
          </w:tcPr>
          <w:p>
            <w:pPr>
              <w:tabs>
                <w:tab w:val="left" w:pos="9135"/>
              </w:tabs>
              <w:jc w:val="center"/>
              <w:rPr>
                <w:rFonts w:ascii="宋体"/>
                <w:szCs w:val="21"/>
              </w:rPr>
            </w:pPr>
            <w:r>
              <w:rPr>
                <w:rFonts w:hint="eastAsia" w:ascii="宋体"/>
                <w:szCs w:val="21"/>
              </w:rP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5" w:type="dxa"/>
            <w:vMerge w:val="continue"/>
          </w:tcPr>
          <w:p>
            <w:pPr>
              <w:tabs>
                <w:tab w:val="left" w:pos="9135"/>
              </w:tabs>
              <w:jc w:val="center"/>
              <w:rPr>
                <w:rFonts w:ascii="宋体"/>
                <w:szCs w:val="21"/>
              </w:rPr>
            </w:pPr>
          </w:p>
        </w:tc>
        <w:tc>
          <w:tcPr>
            <w:tcW w:w="824" w:type="dxa"/>
          </w:tcPr>
          <w:p>
            <w:pPr>
              <w:tabs>
                <w:tab w:val="left" w:pos="9135"/>
              </w:tabs>
              <w:jc w:val="center"/>
              <w:rPr>
                <w:rFonts w:ascii="宋体"/>
                <w:szCs w:val="21"/>
              </w:rPr>
            </w:pPr>
            <w:r>
              <w:rPr>
                <w:rFonts w:hint="eastAsia" w:ascii="宋体"/>
                <w:szCs w:val="21"/>
              </w:rPr>
              <w:t>高二</w:t>
            </w:r>
          </w:p>
        </w:tc>
        <w:tc>
          <w:tcPr>
            <w:tcW w:w="964" w:type="dxa"/>
          </w:tcPr>
          <w:p>
            <w:pPr>
              <w:tabs>
                <w:tab w:val="left" w:pos="9135"/>
              </w:tabs>
              <w:jc w:val="center"/>
              <w:rPr>
                <w:rFonts w:ascii="宋体"/>
                <w:szCs w:val="21"/>
              </w:rPr>
            </w:pPr>
            <w:r>
              <w:rPr>
                <w:rFonts w:hint="eastAsia" w:ascii="宋体"/>
                <w:szCs w:val="21"/>
              </w:rPr>
              <w:t>480</w:t>
            </w:r>
          </w:p>
        </w:tc>
        <w:tc>
          <w:tcPr>
            <w:tcW w:w="874" w:type="dxa"/>
          </w:tcPr>
          <w:p>
            <w:pPr>
              <w:tabs>
                <w:tab w:val="left" w:pos="9135"/>
              </w:tabs>
              <w:jc w:val="center"/>
              <w:rPr>
                <w:rFonts w:ascii="宋体"/>
                <w:szCs w:val="21"/>
              </w:rPr>
            </w:pPr>
            <w:r>
              <w:rPr>
                <w:rFonts w:hint="eastAsia" w:ascii="宋体"/>
                <w:szCs w:val="21"/>
              </w:rPr>
              <w:t>457</w:t>
            </w:r>
          </w:p>
        </w:tc>
        <w:tc>
          <w:tcPr>
            <w:tcW w:w="1009"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1157"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664" w:type="dxa"/>
          </w:tcPr>
          <w:p>
            <w:pPr>
              <w:tabs>
                <w:tab w:val="left" w:pos="9135"/>
              </w:tabs>
              <w:jc w:val="center"/>
              <w:rPr>
                <w:rFonts w:ascii="宋体"/>
                <w:szCs w:val="21"/>
              </w:rPr>
            </w:pPr>
            <w:r>
              <w:rPr>
                <w:rFonts w:hint="eastAsia" w:ascii="宋体"/>
                <w:szCs w:val="21"/>
              </w:rPr>
              <w:t>10</w:t>
            </w:r>
          </w:p>
        </w:tc>
        <w:tc>
          <w:tcPr>
            <w:tcW w:w="914" w:type="dxa"/>
          </w:tcPr>
          <w:p>
            <w:pPr>
              <w:tabs>
                <w:tab w:val="left" w:pos="9135"/>
              </w:tabs>
              <w:jc w:val="center"/>
              <w:rPr>
                <w:rFonts w:ascii="宋体"/>
                <w:szCs w:val="21"/>
              </w:rPr>
            </w:pPr>
            <w:r>
              <w:rPr>
                <w:rFonts w:hint="eastAsia" w:ascii="宋体"/>
                <w:szCs w:val="21"/>
              </w:rPr>
              <w:t>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5" w:type="dxa"/>
            <w:vMerge w:val="continue"/>
          </w:tcPr>
          <w:p>
            <w:pPr>
              <w:tabs>
                <w:tab w:val="left" w:pos="9135"/>
              </w:tabs>
              <w:jc w:val="center"/>
              <w:rPr>
                <w:rFonts w:ascii="宋体"/>
                <w:szCs w:val="21"/>
              </w:rPr>
            </w:pPr>
          </w:p>
        </w:tc>
        <w:tc>
          <w:tcPr>
            <w:tcW w:w="824" w:type="dxa"/>
          </w:tcPr>
          <w:p>
            <w:pPr>
              <w:tabs>
                <w:tab w:val="left" w:pos="9135"/>
              </w:tabs>
              <w:jc w:val="center"/>
              <w:rPr>
                <w:rFonts w:ascii="宋体"/>
                <w:szCs w:val="21"/>
              </w:rPr>
            </w:pPr>
            <w:r>
              <w:rPr>
                <w:rFonts w:hint="eastAsia" w:ascii="宋体"/>
                <w:szCs w:val="21"/>
              </w:rPr>
              <w:t>高三</w:t>
            </w:r>
          </w:p>
        </w:tc>
        <w:tc>
          <w:tcPr>
            <w:tcW w:w="964" w:type="dxa"/>
          </w:tcPr>
          <w:p>
            <w:pPr>
              <w:tabs>
                <w:tab w:val="left" w:pos="9135"/>
              </w:tabs>
              <w:jc w:val="center"/>
              <w:rPr>
                <w:rFonts w:ascii="宋体"/>
                <w:szCs w:val="21"/>
              </w:rPr>
            </w:pPr>
            <w:r>
              <w:rPr>
                <w:rFonts w:hint="eastAsia" w:ascii="宋体"/>
                <w:szCs w:val="21"/>
              </w:rPr>
              <w:t>480</w:t>
            </w:r>
          </w:p>
        </w:tc>
        <w:tc>
          <w:tcPr>
            <w:tcW w:w="874" w:type="dxa"/>
          </w:tcPr>
          <w:p>
            <w:pPr>
              <w:tabs>
                <w:tab w:val="left" w:pos="9135"/>
              </w:tabs>
              <w:jc w:val="center"/>
              <w:rPr>
                <w:rFonts w:ascii="宋体"/>
                <w:szCs w:val="21"/>
              </w:rPr>
            </w:pPr>
            <w:r>
              <w:rPr>
                <w:rFonts w:hint="eastAsia" w:ascii="宋体"/>
                <w:szCs w:val="21"/>
              </w:rPr>
              <w:t>437</w:t>
            </w:r>
          </w:p>
        </w:tc>
        <w:tc>
          <w:tcPr>
            <w:tcW w:w="1009"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1157"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664" w:type="dxa"/>
          </w:tcPr>
          <w:p>
            <w:pPr>
              <w:tabs>
                <w:tab w:val="left" w:pos="9135"/>
              </w:tabs>
              <w:jc w:val="center"/>
              <w:rPr>
                <w:rFonts w:ascii="宋体"/>
                <w:szCs w:val="21"/>
              </w:rPr>
            </w:pPr>
            <w:r>
              <w:rPr>
                <w:rFonts w:hint="eastAsia" w:ascii="宋体"/>
                <w:szCs w:val="21"/>
              </w:rPr>
              <w:t>10</w:t>
            </w:r>
          </w:p>
        </w:tc>
        <w:tc>
          <w:tcPr>
            <w:tcW w:w="914" w:type="dxa"/>
          </w:tcPr>
          <w:p>
            <w:pPr>
              <w:tabs>
                <w:tab w:val="left" w:pos="9135"/>
              </w:tabs>
              <w:jc w:val="center"/>
              <w:rPr>
                <w:rFonts w:ascii="宋体"/>
                <w:szCs w:val="21"/>
              </w:rPr>
            </w:pPr>
            <w:r>
              <w:rPr>
                <w:rFonts w:hint="eastAsia" w:ascii="宋体"/>
                <w:szCs w:val="21"/>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5" w:type="dxa"/>
            <w:vMerge w:val="continue"/>
          </w:tcPr>
          <w:p>
            <w:pPr>
              <w:tabs>
                <w:tab w:val="left" w:pos="9135"/>
              </w:tabs>
              <w:jc w:val="center"/>
              <w:rPr>
                <w:rFonts w:ascii="宋体"/>
                <w:szCs w:val="21"/>
              </w:rPr>
            </w:pPr>
          </w:p>
        </w:tc>
        <w:tc>
          <w:tcPr>
            <w:tcW w:w="824" w:type="dxa"/>
          </w:tcPr>
          <w:p>
            <w:pPr>
              <w:tabs>
                <w:tab w:val="left" w:pos="9135"/>
              </w:tabs>
              <w:jc w:val="center"/>
              <w:rPr>
                <w:rFonts w:ascii="宋体"/>
                <w:szCs w:val="21"/>
              </w:rPr>
            </w:pPr>
            <w:r>
              <w:rPr>
                <w:rFonts w:hint="eastAsia" w:ascii="宋体"/>
                <w:szCs w:val="21"/>
              </w:rPr>
              <w:t>合计</w:t>
            </w:r>
          </w:p>
        </w:tc>
        <w:tc>
          <w:tcPr>
            <w:tcW w:w="964" w:type="dxa"/>
          </w:tcPr>
          <w:p>
            <w:pPr>
              <w:tabs>
                <w:tab w:val="left" w:pos="9135"/>
              </w:tabs>
              <w:jc w:val="center"/>
              <w:rPr>
                <w:rFonts w:ascii="宋体"/>
                <w:szCs w:val="21"/>
              </w:rPr>
            </w:pPr>
            <w:r>
              <w:rPr>
                <w:rFonts w:hint="eastAsia" w:ascii="宋体"/>
                <w:szCs w:val="21"/>
              </w:rPr>
              <w:t>1440</w:t>
            </w:r>
          </w:p>
        </w:tc>
        <w:tc>
          <w:tcPr>
            <w:tcW w:w="874" w:type="dxa"/>
          </w:tcPr>
          <w:p>
            <w:pPr>
              <w:tabs>
                <w:tab w:val="left" w:pos="9135"/>
              </w:tabs>
              <w:jc w:val="center"/>
              <w:rPr>
                <w:rFonts w:ascii="宋体"/>
                <w:szCs w:val="21"/>
              </w:rPr>
            </w:pPr>
            <w:r>
              <w:rPr>
                <w:rFonts w:hint="eastAsia" w:ascii="宋体"/>
                <w:szCs w:val="21"/>
              </w:rPr>
              <w:t>1367</w:t>
            </w:r>
          </w:p>
        </w:tc>
        <w:tc>
          <w:tcPr>
            <w:tcW w:w="1009"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1157" w:type="dxa"/>
          </w:tcPr>
          <w:p>
            <w:pPr>
              <w:tabs>
                <w:tab w:val="left" w:pos="9135"/>
              </w:tabs>
              <w:jc w:val="center"/>
              <w:rPr>
                <w:rFonts w:ascii="宋体"/>
                <w:szCs w:val="21"/>
              </w:rPr>
            </w:pPr>
          </w:p>
        </w:tc>
        <w:tc>
          <w:tcPr>
            <w:tcW w:w="964" w:type="dxa"/>
          </w:tcPr>
          <w:p>
            <w:pPr>
              <w:tabs>
                <w:tab w:val="left" w:pos="9135"/>
              </w:tabs>
              <w:jc w:val="center"/>
              <w:rPr>
                <w:rFonts w:ascii="宋体"/>
                <w:szCs w:val="21"/>
              </w:rPr>
            </w:pPr>
          </w:p>
        </w:tc>
        <w:tc>
          <w:tcPr>
            <w:tcW w:w="664" w:type="dxa"/>
          </w:tcPr>
          <w:p>
            <w:pPr>
              <w:tabs>
                <w:tab w:val="left" w:pos="9135"/>
              </w:tabs>
              <w:jc w:val="center"/>
              <w:rPr>
                <w:rFonts w:ascii="宋体"/>
                <w:szCs w:val="21"/>
              </w:rPr>
            </w:pPr>
            <w:r>
              <w:rPr>
                <w:rFonts w:hint="eastAsia" w:ascii="宋体"/>
                <w:szCs w:val="21"/>
              </w:rPr>
              <w:t>30</w:t>
            </w:r>
          </w:p>
        </w:tc>
        <w:tc>
          <w:tcPr>
            <w:tcW w:w="914" w:type="dxa"/>
          </w:tcPr>
          <w:p>
            <w:pPr>
              <w:tabs>
                <w:tab w:val="left" w:pos="9135"/>
              </w:tabs>
              <w:jc w:val="center"/>
              <w:rPr>
                <w:rFonts w:ascii="宋体"/>
                <w:szCs w:val="21"/>
              </w:rPr>
            </w:pPr>
            <w:r>
              <w:rPr>
                <w:rFonts w:hint="eastAsia" w:ascii="宋体"/>
                <w:szCs w:val="21"/>
              </w:rPr>
              <w:t>45.6</w:t>
            </w:r>
          </w:p>
        </w:tc>
      </w:tr>
    </w:tbl>
    <w:p>
      <w:pPr>
        <w:tabs>
          <w:tab w:val="left" w:pos="9135"/>
        </w:tabs>
        <w:rPr>
          <w:rFonts w:ascii="宋体"/>
        </w:rPr>
      </w:pPr>
      <w:r>
        <w:rPr>
          <w:rFonts w:hint="eastAsia" w:ascii="宋体"/>
        </w:rPr>
        <w:t>注：每学年的“在籍生数”是指该学年各年级在学籍管理系统中的学生数；计算每学年各年级“班均生数”时需将各年级在校与外出借读生数折算统计在内；每学年的统计口径需保持一致。</w:t>
      </w:r>
      <w:r>
        <w:rPr>
          <w:rFonts w:hint="eastAsia"/>
        </w:rPr>
        <w:t>“学年度”是指含申报时所在学年的近三个学年度。</w:t>
      </w:r>
    </w:p>
    <w:p>
      <w:pPr>
        <w:tabs>
          <w:tab w:val="left" w:pos="0"/>
        </w:tabs>
        <w:spacing w:line="560" w:lineRule="exact"/>
        <w:ind w:right="560"/>
        <w:rPr>
          <w:rFonts w:ascii="宋体"/>
          <w:b/>
          <w:sz w:val="28"/>
          <w:szCs w:val="28"/>
        </w:rPr>
      </w:pPr>
      <w:r>
        <w:rPr>
          <w:rFonts w:hint="eastAsia" w:ascii="宋体"/>
          <w:b/>
          <w:sz w:val="28"/>
          <w:szCs w:val="28"/>
        </w:rPr>
        <w:t xml:space="preserve">5. 学校领导班子成员情况表 </w:t>
      </w:r>
    </w:p>
    <w:tbl>
      <w:tblPr>
        <w:tblStyle w:val="14"/>
        <w:tblW w:w="96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461"/>
        <w:gridCol w:w="517"/>
        <w:gridCol w:w="933"/>
        <w:gridCol w:w="710"/>
        <w:gridCol w:w="739"/>
        <w:gridCol w:w="720"/>
        <w:gridCol w:w="851"/>
        <w:gridCol w:w="56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920" w:type="dxa"/>
            <w:vAlign w:val="center"/>
          </w:tcPr>
          <w:p>
            <w:pPr>
              <w:tabs>
                <w:tab w:val="left" w:pos="9135"/>
              </w:tabs>
              <w:jc w:val="center"/>
              <w:rPr>
                <w:rFonts w:ascii="宋体"/>
                <w:szCs w:val="21"/>
              </w:rPr>
            </w:pPr>
            <w:r>
              <w:rPr>
                <w:rFonts w:hint="eastAsia" w:ascii="宋体"/>
                <w:szCs w:val="21"/>
              </w:rPr>
              <w:t>姓名</w:t>
            </w:r>
          </w:p>
        </w:tc>
        <w:tc>
          <w:tcPr>
            <w:tcW w:w="461" w:type="dxa"/>
            <w:vAlign w:val="center"/>
          </w:tcPr>
          <w:p>
            <w:pPr>
              <w:tabs>
                <w:tab w:val="left" w:pos="9135"/>
              </w:tabs>
              <w:jc w:val="center"/>
              <w:rPr>
                <w:rFonts w:ascii="宋体"/>
                <w:szCs w:val="21"/>
              </w:rPr>
            </w:pPr>
            <w:r>
              <w:rPr>
                <w:rFonts w:hint="eastAsia" w:ascii="宋体"/>
                <w:szCs w:val="21"/>
              </w:rPr>
              <w:t>性</w:t>
            </w:r>
          </w:p>
          <w:p>
            <w:pPr>
              <w:tabs>
                <w:tab w:val="left" w:pos="9135"/>
              </w:tabs>
              <w:jc w:val="center"/>
              <w:rPr>
                <w:rFonts w:ascii="宋体"/>
                <w:szCs w:val="21"/>
              </w:rPr>
            </w:pPr>
            <w:r>
              <w:rPr>
                <w:rFonts w:hint="eastAsia" w:ascii="宋体"/>
                <w:szCs w:val="21"/>
              </w:rPr>
              <w:t>别</w:t>
            </w:r>
          </w:p>
        </w:tc>
        <w:tc>
          <w:tcPr>
            <w:tcW w:w="517" w:type="dxa"/>
            <w:vAlign w:val="center"/>
          </w:tcPr>
          <w:p>
            <w:pPr>
              <w:tabs>
                <w:tab w:val="left" w:pos="9135"/>
              </w:tabs>
              <w:jc w:val="center"/>
              <w:rPr>
                <w:rFonts w:ascii="宋体"/>
                <w:szCs w:val="21"/>
              </w:rPr>
            </w:pPr>
            <w:r>
              <w:rPr>
                <w:rFonts w:hint="eastAsia" w:ascii="宋体"/>
                <w:szCs w:val="21"/>
              </w:rPr>
              <w:t>年</w:t>
            </w:r>
          </w:p>
          <w:p>
            <w:pPr>
              <w:tabs>
                <w:tab w:val="left" w:pos="9135"/>
              </w:tabs>
              <w:jc w:val="center"/>
              <w:rPr>
                <w:rFonts w:ascii="宋体"/>
                <w:szCs w:val="21"/>
              </w:rPr>
            </w:pPr>
            <w:r>
              <w:rPr>
                <w:rFonts w:hint="eastAsia" w:ascii="宋体"/>
                <w:szCs w:val="21"/>
              </w:rPr>
              <w:t>龄</w:t>
            </w:r>
          </w:p>
        </w:tc>
        <w:tc>
          <w:tcPr>
            <w:tcW w:w="933" w:type="dxa"/>
            <w:vAlign w:val="center"/>
          </w:tcPr>
          <w:p>
            <w:pPr>
              <w:tabs>
                <w:tab w:val="left" w:pos="9135"/>
              </w:tabs>
              <w:jc w:val="center"/>
              <w:rPr>
                <w:rFonts w:ascii="宋体"/>
                <w:szCs w:val="21"/>
              </w:rPr>
            </w:pPr>
            <w:r>
              <w:rPr>
                <w:rFonts w:hint="eastAsia" w:ascii="宋体"/>
                <w:szCs w:val="21"/>
              </w:rPr>
              <w:t>职务</w:t>
            </w:r>
          </w:p>
        </w:tc>
        <w:tc>
          <w:tcPr>
            <w:tcW w:w="710" w:type="dxa"/>
            <w:vAlign w:val="center"/>
          </w:tcPr>
          <w:p>
            <w:pPr>
              <w:tabs>
                <w:tab w:val="left" w:pos="9135"/>
              </w:tabs>
              <w:jc w:val="center"/>
              <w:rPr>
                <w:rFonts w:ascii="宋体"/>
                <w:szCs w:val="21"/>
              </w:rPr>
            </w:pPr>
            <w:r>
              <w:rPr>
                <w:rFonts w:hint="eastAsia" w:ascii="宋体"/>
                <w:szCs w:val="21"/>
              </w:rPr>
              <w:t>最高</w:t>
            </w:r>
          </w:p>
          <w:p>
            <w:pPr>
              <w:tabs>
                <w:tab w:val="left" w:pos="9135"/>
              </w:tabs>
              <w:jc w:val="center"/>
              <w:rPr>
                <w:rFonts w:ascii="宋体"/>
                <w:szCs w:val="21"/>
              </w:rPr>
            </w:pPr>
            <w:r>
              <w:rPr>
                <w:rFonts w:hint="eastAsia" w:ascii="宋体"/>
                <w:szCs w:val="21"/>
              </w:rPr>
              <w:t>学历</w:t>
            </w:r>
          </w:p>
        </w:tc>
        <w:tc>
          <w:tcPr>
            <w:tcW w:w="739" w:type="dxa"/>
            <w:vAlign w:val="center"/>
          </w:tcPr>
          <w:p>
            <w:pPr>
              <w:tabs>
                <w:tab w:val="left" w:pos="9135"/>
              </w:tabs>
              <w:jc w:val="center"/>
              <w:rPr>
                <w:rFonts w:ascii="宋体"/>
                <w:szCs w:val="21"/>
              </w:rPr>
            </w:pPr>
            <w:r>
              <w:rPr>
                <w:rFonts w:hint="eastAsia" w:ascii="宋体"/>
                <w:szCs w:val="21"/>
              </w:rPr>
              <w:t>所学</w:t>
            </w:r>
          </w:p>
          <w:p>
            <w:pPr>
              <w:tabs>
                <w:tab w:val="left" w:pos="9135"/>
              </w:tabs>
              <w:jc w:val="center"/>
              <w:rPr>
                <w:rFonts w:ascii="宋体"/>
                <w:szCs w:val="21"/>
              </w:rPr>
            </w:pPr>
            <w:r>
              <w:rPr>
                <w:rFonts w:hint="eastAsia" w:ascii="宋体"/>
                <w:szCs w:val="21"/>
              </w:rPr>
              <w:t>专业</w:t>
            </w:r>
          </w:p>
        </w:tc>
        <w:tc>
          <w:tcPr>
            <w:tcW w:w="720" w:type="dxa"/>
            <w:vAlign w:val="center"/>
          </w:tcPr>
          <w:p>
            <w:pPr>
              <w:tabs>
                <w:tab w:val="left" w:pos="9135"/>
              </w:tabs>
              <w:jc w:val="center"/>
              <w:rPr>
                <w:rFonts w:ascii="宋体"/>
                <w:szCs w:val="21"/>
              </w:rPr>
            </w:pPr>
            <w:r>
              <w:rPr>
                <w:rFonts w:hint="eastAsia" w:ascii="宋体"/>
                <w:szCs w:val="21"/>
              </w:rPr>
              <w:t>专业</w:t>
            </w:r>
          </w:p>
          <w:p>
            <w:pPr>
              <w:tabs>
                <w:tab w:val="left" w:pos="9135"/>
              </w:tabs>
              <w:jc w:val="center"/>
              <w:rPr>
                <w:rFonts w:ascii="宋体"/>
                <w:szCs w:val="21"/>
              </w:rPr>
            </w:pPr>
            <w:r>
              <w:rPr>
                <w:rFonts w:hint="eastAsia" w:ascii="宋体"/>
                <w:szCs w:val="21"/>
              </w:rPr>
              <w:t>技术</w:t>
            </w:r>
          </w:p>
          <w:p>
            <w:pPr>
              <w:tabs>
                <w:tab w:val="left" w:pos="9135"/>
              </w:tabs>
              <w:jc w:val="center"/>
              <w:rPr>
                <w:rFonts w:ascii="宋体"/>
                <w:szCs w:val="21"/>
              </w:rPr>
            </w:pPr>
            <w:r>
              <w:rPr>
                <w:rFonts w:hint="eastAsia" w:ascii="宋体"/>
                <w:szCs w:val="21"/>
              </w:rPr>
              <w:t>职称</w:t>
            </w:r>
          </w:p>
        </w:tc>
        <w:tc>
          <w:tcPr>
            <w:tcW w:w="851" w:type="dxa"/>
            <w:vAlign w:val="center"/>
          </w:tcPr>
          <w:p>
            <w:pPr>
              <w:tabs>
                <w:tab w:val="left" w:pos="9135"/>
              </w:tabs>
              <w:jc w:val="center"/>
              <w:rPr>
                <w:rFonts w:ascii="宋体"/>
                <w:szCs w:val="21"/>
              </w:rPr>
            </w:pPr>
            <w:r>
              <w:rPr>
                <w:rFonts w:hint="eastAsia" w:ascii="宋体"/>
                <w:szCs w:val="21"/>
              </w:rPr>
              <w:t>现任教</w:t>
            </w:r>
          </w:p>
          <w:p>
            <w:pPr>
              <w:tabs>
                <w:tab w:val="left" w:pos="9135"/>
              </w:tabs>
              <w:jc w:val="center"/>
              <w:rPr>
                <w:rFonts w:ascii="宋体"/>
                <w:szCs w:val="21"/>
              </w:rPr>
            </w:pPr>
            <w:r>
              <w:rPr>
                <w:rFonts w:hint="eastAsia" w:ascii="宋体"/>
                <w:szCs w:val="21"/>
              </w:rPr>
              <w:t>学 科</w:t>
            </w:r>
          </w:p>
        </w:tc>
        <w:tc>
          <w:tcPr>
            <w:tcW w:w="567" w:type="dxa"/>
            <w:vAlign w:val="center"/>
          </w:tcPr>
          <w:p>
            <w:pPr>
              <w:tabs>
                <w:tab w:val="left" w:pos="9135"/>
              </w:tabs>
              <w:jc w:val="center"/>
              <w:rPr>
                <w:rFonts w:ascii="宋体"/>
                <w:szCs w:val="21"/>
              </w:rPr>
            </w:pPr>
            <w:r>
              <w:rPr>
                <w:rFonts w:hint="eastAsia" w:ascii="宋体"/>
                <w:szCs w:val="21"/>
              </w:rPr>
              <w:t>节数/周</w:t>
            </w:r>
          </w:p>
        </w:tc>
        <w:tc>
          <w:tcPr>
            <w:tcW w:w="3260" w:type="dxa"/>
            <w:vAlign w:val="center"/>
          </w:tcPr>
          <w:p>
            <w:pPr>
              <w:tabs>
                <w:tab w:val="left" w:pos="9135"/>
              </w:tabs>
              <w:jc w:val="center"/>
              <w:rPr>
                <w:rFonts w:ascii="宋体"/>
                <w:szCs w:val="21"/>
              </w:rPr>
            </w:pPr>
            <w:r>
              <w:rPr>
                <w:rFonts w:hint="eastAsia" w:ascii="宋体"/>
                <w:szCs w:val="21"/>
              </w:rPr>
              <w:t>荣誉称号</w:t>
            </w:r>
          </w:p>
          <w:p>
            <w:pPr>
              <w:tabs>
                <w:tab w:val="left" w:pos="9135"/>
              </w:tabs>
              <w:jc w:val="center"/>
              <w:rPr>
                <w:rFonts w:ascii="宋体"/>
                <w:szCs w:val="21"/>
              </w:rPr>
            </w:pPr>
            <w:r>
              <w:rPr>
                <w:rFonts w:hint="eastAsia" w:ascii="宋体"/>
                <w:szCs w:val="21"/>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340" w:lineRule="exact"/>
              <w:jc w:val="center"/>
              <w:rPr>
                <w:rFonts w:ascii="宋体" w:hAnsi="宋体" w:cs="宋体"/>
                <w:szCs w:val="21"/>
              </w:rPr>
            </w:pPr>
            <w:r>
              <w:rPr>
                <w:rFonts w:hint="eastAsia"/>
                <w:szCs w:val="21"/>
              </w:rPr>
              <w:t>沈纯芳</w:t>
            </w:r>
          </w:p>
        </w:tc>
        <w:tc>
          <w:tcPr>
            <w:tcW w:w="461" w:type="dxa"/>
            <w:vAlign w:val="center"/>
          </w:tcPr>
          <w:p>
            <w:pPr>
              <w:spacing w:line="340" w:lineRule="exact"/>
              <w:jc w:val="center"/>
              <w:rPr>
                <w:rFonts w:ascii="宋体" w:hAnsi="宋体" w:cs="宋体"/>
                <w:szCs w:val="21"/>
              </w:rPr>
            </w:pPr>
            <w:r>
              <w:rPr>
                <w:rFonts w:hint="eastAsia"/>
                <w:szCs w:val="21"/>
              </w:rPr>
              <w:t>女</w:t>
            </w:r>
          </w:p>
        </w:tc>
        <w:tc>
          <w:tcPr>
            <w:tcW w:w="517" w:type="dxa"/>
            <w:vAlign w:val="center"/>
          </w:tcPr>
          <w:p>
            <w:pPr>
              <w:spacing w:line="340" w:lineRule="exact"/>
              <w:jc w:val="center"/>
              <w:rPr>
                <w:rFonts w:ascii="宋体" w:hAnsi="宋体" w:cs="宋体"/>
                <w:szCs w:val="21"/>
              </w:rPr>
            </w:pPr>
            <w:r>
              <w:rPr>
                <w:rFonts w:hint="eastAsia" w:ascii="宋体" w:hAnsi="宋体" w:cs="宋体"/>
                <w:szCs w:val="21"/>
              </w:rPr>
              <w:t>51</w:t>
            </w:r>
          </w:p>
        </w:tc>
        <w:tc>
          <w:tcPr>
            <w:tcW w:w="933" w:type="dxa"/>
            <w:vAlign w:val="center"/>
          </w:tcPr>
          <w:p>
            <w:pPr>
              <w:spacing w:line="340" w:lineRule="exact"/>
              <w:jc w:val="left"/>
              <w:rPr>
                <w:rFonts w:ascii="宋体"/>
                <w:szCs w:val="21"/>
              </w:rPr>
            </w:pPr>
            <w:r>
              <w:rPr>
                <w:rFonts w:hint="eastAsia" w:ascii="宋体"/>
                <w:szCs w:val="21"/>
              </w:rPr>
              <w:t>党支部书记、校长</w:t>
            </w:r>
          </w:p>
        </w:tc>
        <w:tc>
          <w:tcPr>
            <w:tcW w:w="710" w:type="dxa"/>
            <w:vAlign w:val="center"/>
          </w:tcPr>
          <w:p>
            <w:pPr>
              <w:spacing w:line="340" w:lineRule="exact"/>
              <w:jc w:val="center"/>
              <w:rPr>
                <w:rFonts w:ascii="宋体"/>
                <w:szCs w:val="21"/>
              </w:rPr>
            </w:pPr>
            <w:r>
              <w:rPr>
                <w:rFonts w:hint="eastAsia" w:ascii="宋体"/>
                <w:szCs w:val="21"/>
              </w:rPr>
              <w:t>本科</w:t>
            </w:r>
          </w:p>
        </w:tc>
        <w:tc>
          <w:tcPr>
            <w:tcW w:w="739" w:type="dxa"/>
            <w:vAlign w:val="center"/>
          </w:tcPr>
          <w:p>
            <w:pPr>
              <w:spacing w:line="340" w:lineRule="exact"/>
              <w:jc w:val="center"/>
              <w:rPr>
                <w:rFonts w:ascii="宋体" w:hAnsi="宋体" w:cs="宋体"/>
                <w:szCs w:val="21"/>
              </w:rPr>
            </w:pPr>
            <w:r>
              <w:rPr>
                <w:rFonts w:hint="eastAsia" w:ascii="宋体" w:hAnsi="宋体" w:cs="宋体"/>
                <w:szCs w:val="21"/>
              </w:rPr>
              <w:t>历史</w:t>
            </w:r>
          </w:p>
        </w:tc>
        <w:tc>
          <w:tcPr>
            <w:tcW w:w="720" w:type="dxa"/>
            <w:vAlign w:val="center"/>
          </w:tcPr>
          <w:p>
            <w:pPr>
              <w:spacing w:line="340" w:lineRule="exact"/>
              <w:jc w:val="center"/>
              <w:rPr>
                <w:rFonts w:ascii="宋体" w:hAnsi="宋体" w:cs="宋体"/>
                <w:szCs w:val="21"/>
              </w:rPr>
            </w:pPr>
            <w:r>
              <w:rPr>
                <w:rFonts w:hint="eastAsia"/>
                <w:szCs w:val="21"/>
              </w:rPr>
              <w:t>中学高级</w:t>
            </w:r>
          </w:p>
        </w:tc>
        <w:tc>
          <w:tcPr>
            <w:tcW w:w="851" w:type="dxa"/>
            <w:vAlign w:val="center"/>
          </w:tcPr>
          <w:p>
            <w:pPr>
              <w:spacing w:line="340" w:lineRule="exact"/>
              <w:jc w:val="center"/>
              <w:rPr>
                <w:rFonts w:ascii="宋体"/>
                <w:szCs w:val="21"/>
              </w:rPr>
            </w:pPr>
          </w:p>
        </w:tc>
        <w:tc>
          <w:tcPr>
            <w:tcW w:w="567" w:type="dxa"/>
            <w:vAlign w:val="center"/>
          </w:tcPr>
          <w:p>
            <w:pPr>
              <w:spacing w:line="340" w:lineRule="exact"/>
              <w:jc w:val="center"/>
              <w:rPr>
                <w:rFonts w:ascii="宋体" w:hAnsi="宋体" w:cs="宋体"/>
                <w:szCs w:val="21"/>
              </w:rPr>
            </w:pPr>
          </w:p>
        </w:tc>
        <w:tc>
          <w:tcPr>
            <w:tcW w:w="3260" w:type="dxa"/>
          </w:tcPr>
          <w:p>
            <w:pPr>
              <w:tabs>
                <w:tab w:val="left" w:pos="3834"/>
              </w:tabs>
              <w:adjustRightInd w:val="0"/>
              <w:ind w:right="-16"/>
              <w:jc w:val="left"/>
              <w:textAlignment w:val="baseline"/>
              <w:rPr>
                <w:rFonts w:ascii="宋体"/>
              </w:rPr>
            </w:pPr>
            <w:r>
              <w:rPr>
                <w:rFonts w:hint="eastAsia" w:ascii="宋体"/>
              </w:rPr>
              <w:t>国家先进实验工作者、</w:t>
            </w:r>
            <w:r>
              <w:rPr>
                <w:szCs w:val="21"/>
              </w:rPr>
              <w:t>江苏省优秀青少年科技教育校长、</w:t>
            </w:r>
            <w:r>
              <w:rPr>
                <w:rFonts w:hint="eastAsia" w:ascii="宋体"/>
              </w:rPr>
              <w:t>常州市历史学科带头人、</w:t>
            </w:r>
            <w:r>
              <w:rPr>
                <w:szCs w:val="21"/>
              </w:rPr>
              <w:t>常州市优秀党务工作者、常州市优秀班主任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340" w:lineRule="exact"/>
              <w:jc w:val="center"/>
              <w:rPr>
                <w:rFonts w:ascii="宋体" w:hAnsi="宋体" w:cs="宋体"/>
                <w:szCs w:val="21"/>
              </w:rPr>
            </w:pPr>
            <w:r>
              <w:rPr>
                <w:rFonts w:hint="eastAsia"/>
                <w:szCs w:val="21"/>
              </w:rPr>
              <w:t>刘晏昌</w:t>
            </w:r>
          </w:p>
        </w:tc>
        <w:tc>
          <w:tcPr>
            <w:tcW w:w="461" w:type="dxa"/>
            <w:vAlign w:val="center"/>
          </w:tcPr>
          <w:p>
            <w:pPr>
              <w:spacing w:line="340" w:lineRule="exact"/>
              <w:jc w:val="center"/>
              <w:rPr>
                <w:rFonts w:ascii="宋体" w:hAnsi="宋体" w:cs="宋体"/>
                <w:szCs w:val="21"/>
              </w:rPr>
            </w:pPr>
            <w:r>
              <w:rPr>
                <w:rFonts w:hint="eastAsia"/>
                <w:szCs w:val="21"/>
              </w:rPr>
              <w:t>男</w:t>
            </w:r>
          </w:p>
        </w:tc>
        <w:tc>
          <w:tcPr>
            <w:tcW w:w="517" w:type="dxa"/>
            <w:vAlign w:val="center"/>
          </w:tcPr>
          <w:p>
            <w:pPr>
              <w:spacing w:line="340" w:lineRule="exact"/>
              <w:jc w:val="center"/>
              <w:rPr>
                <w:rFonts w:ascii="宋体" w:hAnsi="宋体" w:cs="宋体"/>
                <w:szCs w:val="21"/>
              </w:rPr>
            </w:pPr>
            <w:r>
              <w:rPr>
                <w:rFonts w:hint="eastAsia" w:ascii="宋体" w:hAnsi="宋体" w:cs="宋体"/>
                <w:szCs w:val="21"/>
              </w:rPr>
              <w:t>37</w:t>
            </w:r>
          </w:p>
        </w:tc>
        <w:tc>
          <w:tcPr>
            <w:tcW w:w="933" w:type="dxa"/>
            <w:vAlign w:val="center"/>
          </w:tcPr>
          <w:p>
            <w:pPr>
              <w:spacing w:line="340" w:lineRule="exact"/>
              <w:jc w:val="left"/>
              <w:rPr>
                <w:rFonts w:ascii="宋体"/>
                <w:szCs w:val="21"/>
              </w:rPr>
            </w:pPr>
            <w:r>
              <w:rPr>
                <w:rFonts w:hint="eastAsia" w:ascii="宋体"/>
                <w:szCs w:val="21"/>
              </w:rPr>
              <w:t>副校长</w:t>
            </w:r>
          </w:p>
        </w:tc>
        <w:tc>
          <w:tcPr>
            <w:tcW w:w="710" w:type="dxa"/>
            <w:vAlign w:val="center"/>
          </w:tcPr>
          <w:p>
            <w:pPr>
              <w:spacing w:line="340" w:lineRule="exact"/>
              <w:jc w:val="center"/>
              <w:rPr>
                <w:szCs w:val="21"/>
              </w:rPr>
            </w:pPr>
            <w:r>
              <w:rPr>
                <w:rFonts w:hint="eastAsia" w:ascii="宋体"/>
                <w:szCs w:val="21"/>
              </w:rPr>
              <w:t>本科</w:t>
            </w:r>
          </w:p>
        </w:tc>
        <w:tc>
          <w:tcPr>
            <w:tcW w:w="739" w:type="dxa"/>
            <w:vAlign w:val="center"/>
          </w:tcPr>
          <w:p>
            <w:pPr>
              <w:spacing w:line="340" w:lineRule="exact"/>
              <w:jc w:val="center"/>
              <w:rPr>
                <w:rFonts w:ascii="宋体" w:hAnsi="宋体" w:cs="宋体"/>
                <w:szCs w:val="21"/>
              </w:rPr>
            </w:pPr>
            <w:r>
              <w:rPr>
                <w:rFonts w:hint="eastAsia" w:ascii="宋体" w:hAnsi="宋体" w:cs="宋体"/>
                <w:szCs w:val="21"/>
              </w:rPr>
              <w:t>中文</w:t>
            </w:r>
          </w:p>
        </w:tc>
        <w:tc>
          <w:tcPr>
            <w:tcW w:w="720" w:type="dxa"/>
            <w:vAlign w:val="center"/>
          </w:tcPr>
          <w:p>
            <w:pPr>
              <w:spacing w:line="340" w:lineRule="exact"/>
              <w:jc w:val="center"/>
              <w:rPr>
                <w:rFonts w:ascii="宋体" w:hAnsi="宋体" w:cs="宋体"/>
                <w:szCs w:val="21"/>
              </w:rPr>
            </w:pPr>
            <w:r>
              <w:rPr>
                <w:rFonts w:hint="eastAsia"/>
                <w:szCs w:val="21"/>
              </w:rPr>
              <w:t>中学高级</w:t>
            </w:r>
          </w:p>
        </w:tc>
        <w:tc>
          <w:tcPr>
            <w:tcW w:w="851" w:type="dxa"/>
            <w:vAlign w:val="center"/>
          </w:tcPr>
          <w:p>
            <w:pPr>
              <w:spacing w:line="340" w:lineRule="exact"/>
              <w:jc w:val="center"/>
              <w:rPr>
                <w:rFonts w:ascii="宋体"/>
                <w:szCs w:val="21"/>
              </w:rPr>
            </w:pPr>
            <w:r>
              <w:rPr>
                <w:rFonts w:hint="eastAsia" w:ascii="宋体"/>
                <w:szCs w:val="21"/>
              </w:rPr>
              <w:t>语文</w:t>
            </w:r>
          </w:p>
        </w:tc>
        <w:tc>
          <w:tcPr>
            <w:tcW w:w="567" w:type="dxa"/>
            <w:vAlign w:val="center"/>
          </w:tcPr>
          <w:p>
            <w:pPr>
              <w:spacing w:line="340" w:lineRule="exact"/>
              <w:rPr>
                <w:rFonts w:ascii="宋体" w:hAnsi="宋体" w:cs="宋体"/>
                <w:szCs w:val="21"/>
              </w:rPr>
            </w:pPr>
            <w:r>
              <w:rPr>
                <w:rFonts w:hint="eastAsia" w:ascii="宋体" w:hAnsi="宋体" w:cs="宋体"/>
                <w:szCs w:val="21"/>
              </w:rPr>
              <w:t>援疆</w:t>
            </w:r>
          </w:p>
        </w:tc>
        <w:tc>
          <w:tcPr>
            <w:tcW w:w="3260" w:type="dxa"/>
          </w:tcPr>
          <w:p>
            <w:pPr>
              <w:adjustRightInd w:val="0"/>
              <w:jc w:val="left"/>
              <w:textAlignment w:val="baseline"/>
              <w:rPr>
                <w:rFonts w:ascii="宋体"/>
              </w:rPr>
            </w:pPr>
            <w:r>
              <w:rPr>
                <w:szCs w:val="21"/>
              </w:rPr>
              <w:t>全国科教先进校长、</w:t>
            </w:r>
            <w:r>
              <w:rPr>
                <w:rFonts w:hint="eastAsia" w:ascii="宋体"/>
              </w:rPr>
              <w:t>常州市语文骨干教师、</w:t>
            </w:r>
            <w:r>
              <w:rPr>
                <w:szCs w:val="21"/>
              </w:rPr>
              <w:t>常州市优秀辅导员、常州市德育先进工作者、武进区优秀班主任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340" w:lineRule="exact"/>
              <w:jc w:val="center"/>
              <w:rPr>
                <w:rFonts w:ascii="宋体" w:hAnsi="宋体" w:cs="宋体"/>
                <w:szCs w:val="21"/>
              </w:rPr>
            </w:pPr>
            <w:r>
              <w:rPr>
                <w:rFonts w:hint="eastAsia"/>
                <w:szCs w:val="21"/>
              </w:rPr>
              <w:t>邹国强</w:t>
            </w:r>
          </w:p>
        </w:tc>
        <w:tc>
          <w:tcPr>
            <w:tcW w:w="461" w:type="dxa"/>
            <w:vAlign w:val="center"/>
          </w:tcPr>
          <w:p>
            <w:pPr>
              <w:spacing w:line="340" w:lineRule="exact"/>
              <w:jc w:val="center"/>
              <w:rPr>
                <w:rFonts w:ascii="宋体" w:hAnsi="宋体" w:cs="宋体"/>
                <w:szCs w:val="21"/>
              </w:rPr>
            </w:pPr>
            <w:r>
              <w:rPr>
                <w:rFonts w:hint="eastAsia"/>
                <w:szCs w:val="21"/>
              </w:rPr>
              <w:t>男</w:t>
            </w:r>
          </w:p>
        </w:tc>
        <w:tc>
          <w:tcPr>
            <w:tcW w:w="517" w:type="dxa"/>
            <w:vAlign w:val="center"/>
          </w:tcPr>
          <w:p>
            <w:pPr>
              <w:spacing w:line="340" w:lineRule="exact"/>
              <w:jc w:val="center"/>
              <w:rPr>
                <w:rFonts w:ascii="宋体" w:hAnsi="宋体" w:cs="宋体"/>
                <w:szCs w:val="21"/>
              </w:rPr>
            </w:pPr>
            <w:r>
              <w:rPr>
                <w:rFonts w:hint="eastAsia" w:ascii="宋体" w:hAnsi="宋体" w:cs="宋体"/>
                <w:szCs w:val="21"/>
              </w:rPr>
              <w:t>42</w:t>
            </w:r>
          </w:p>
        </w:tc>
        <w:tc>
          <w:tcPr>
            <w:tcW w:w="933" w:type="dxa"/>
            <w:vAlign w:val="center"/>
          </w:tcPr>
          <w:p>
            <w:pPr>
              <w:spacing w:line="340" w:lineRule="exact"/>
              <w:jc w:val="left"/>
              <w:rPr>
                <w:rFonts w:ascii="宋体"/>
                <w:szCs w:val="21"/>
              </w:rPr>
            </w:pPr>
            <w:r>
              <w:rPr>
                <w:rFonts w:hint="eastAsia" w:ascii="宋体"/>
                <w:szCs w:val="21"/>
              </w:rPr>
              <w:t>副校长</w:t>
            </w:r>
          </w:p>
        </w:tc>
        <w:tc>
          <w:tcPr>
            <w:tcW w:w="710" w:type="dxa"/>
            <w:vAlign w:val="center"/>
          </w:tcPr>
          <w:p>
            <w:pPr>
              <w:spacing w:line="340" w:lineRule="exact"/>
              <w:jc w:val="center"/>
              <w:rPr>
                <w:szCs w:val="21"/>
              </w:rPr>
            </w:pPr>
            <w:r>
              <w:rPr>
                <w:rFonts w:hint="eastAsia" w:ascii="宋体"/>
                <w:szCs w:val="21"/>
              </w:rPr>
              <w:t>本科</w:t>
            </w:r>
          </w:p>
        </w:tc>
        <w:tc>
          <w:tcPr>
            <w:tcW w:w="739" w:type="dxa"/>
            <w:vAlign w:val="center"/>
          </w:tcPr>
          <w:p>
            <w:pPr>
              <w:spacing w:line="340" w:lineRule="exact"/>
              <w:jc w:val="center"/>
              <w:rPr>
                <w:rFonts w:ascii="宋体" w:hAnsi="宋体" w:cs="宋体"/>
                <w:szCs w:val="21"/>
              </w:rPr>
            </w:pPr>
            <w:r>
              <w:rPr>
                <w:rFonts w:hint="eastAsia" w:ascii="宋体" w:hAnsi="宋体" w:cs="宋体"/>
                <w:szCs w:val="21"/>
              </w:rPr>
              <w:t>数学</w:t>
            </w:r>
          </w:p>
        </w:tc>
        <w:tc>
          <w:tcPr>
            <w:tcW w:w="720" w:type="dxa"/>
            <w:vAlign w:val="center"/>
          </w:tcPr>
          <w:p>
            <w:pPr>
              <w:spacing w:line="340" w:lineRule="exact"/>
              <w:jc w:val="center"/>
              <w:rPr>
                <w:rFonts w:ascii="宋体" w:hAnsi="宋体" w:cs="宋体"/>
                <w:szCs w:val="21"/>
              </w:rPr>
            </w:pPr>
            <w:r>
              <w:rPr>
                <w:rFonts w:hint="eastAsia"/>
                <w:szCs w:val="21"/>
              </w:rPr>
              <w:t>中学高级</w:t>
            </w:r>
          </w:p>
        </w:tc>
        <w:tc>
          <w:tcPr>
            <w:tcW w:w="851" w:type="dxa"/>
            <w:vAlign w:val="center"/>
          </w:tcPr>
          <w:p>
            <w:pPr>
              <w:spacing w:line="340" w:lineRule="exact"/>
              <w:jc w:val="center"/>
              <w:rPr>
                <w:rFonts w:ascii="宋体"/>
                <w:szCs w:val="21"/>
              </w:rPr>
            </w:pPr>
            <w:r>
              <w:rPr>
                <w:rFonts w:hint="eastAsia" w:ascii="宋体"/>
                <w:szCs w:val="21"/>
              </w:rPr>
              <w:t>数学</w:t>
            </w:r>
          </w:p>
        </w:tc>
        <w:tc>
          <w:tcPr>
            <w:tcW w:w="567" w:type="dxa"/>
            <w:vAlign w:val="center"/>
          </w:tcPr>
          <w:p>
            <w:pPr>
              <w:spacing w:line="340" w:lineRule="exact"/>
              <w:jc w:val="center"/>
              <w:rPr>
                <w:rFonts w:ascii="宋体" w:hAnsi="宋体" w:cs="宋体"/>
                <w:szCs w:val="21"/>
              </w:rPr>
            </w:pPr>
            <w:r>
              <w:rPr>
                <w:rFonts w:hint="eastAsia" w:ascii="宋体" w:hAnsi="宋体" w:cs="宋体"/>
                <w:szCs w:val="21"/>
              </w:rPr>
              <w:t>5</w:t>
            </w:r>
          </w:p>
        </w:tc>
        <w:tc>
          <w:tcPr>
            <w:tcW w:w="3260" w:type="dxa"/>
          </w:tcPr>
          <w:p>
            <w:pPr>
              <w:adjustRightInd w:val="0"/>
              <w:ind w:right="164"/>
              <w:jc w:val="left"/>
              <w:textAlignment w:val="baseline"/>
              <w:rPr>
                <w:rFonts w:ascii="宋体"/>
              </w:rPr>
            </w:pPr>
            <w:r>
              <w:rPr>
                <w:szCs w:val="21"/>
              </w:rPr>
              <w:t>全国科教先进校长、国家教师科研专项基金先进实验工作者、</w:t>
            </w:r>
            <w:r>
              <w:rPr>
                <w:rFonts w:hint="eastAsia" w:ascii="宋体"/>
              </w:rPr>
              <w:t>常州市数学骨干教师、</w:t>
            </w:r>
            <w:r>
              <w:rPr>
                <w:szCs w:val="21"/>
              </w:rPr>
              <w:t>常州市优秀共产党员、武进区优秀教育工作者、武进区现代教育技术先进个人</w:t>
            </w:r>
            <w:r>
              <w:rPr>
                <w:rFonts w:hint="eastAsia"/>
                <w:szCs w:val="21"/>
              </w:rPr>
              <w:t>、</w:t>
            </w:r>
            <w:r>
              <w:rPr>
                <w:szCs w:val="21"/>
              </w:rPr>
              <w:t>全国多媒体课件设计优秀奖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340" w:lineRule="exact"/>
              <w:jc w:val="center"/>
              <w:rPr>
                <w:szCs w:val="21"/>
              </w:rPr>
            </w:pPr>
            <w:r>
              <w:rPr>
                <w:rFonts w:hint="eastAsia"/>
                <w:szCs w:val="21"/>
              </w:rPr>
              <w:t>徐献鹤</w:t>
            </w:r>
          </w:p>
        </w:tc>
        <w:tc>
          <w:tcPr>
            <w:tcW w:w="461" w:type="dxa"/>
            <w:vAlign w:val="center"/>
          </w:tcPr>
          <w:p>
            <w:pPr>
              <w:spacing w:line="340" w:lineRule="exact"/>
              <w:jc w:val="center"/>
              <w:rPr>
                <w:szCs w:val="21"/>
              </w:rPr>
            </w:pPr>
            <w:r>
              <w:rPr>
                <w:rFonts w:hint="eastAsia"/>
                <w:szCs w:val="21"/>
              </w:rPr>
              <w:t>男</w:t>
            </w:r>
          </w:p>
        </w:tc>
        <w:tc>
          <w:tcPr>
            <w:tcW w:w="517" w:type="dxa"/>
            <w:vAlign w:val="center"/>
          </w:tcPr>
          <w:p>
            <w:pPr>
              <w:spacing w:line="340" w:lineRule="exact"/>
              <w:jc w:val="center"/>
              <w:rPr>
                <w:rFonts w:ascii="宋体" w:hAnsi="宋体" w:cs="宋体"/>
                <w:szCs w:val="21"/>
              </w:rPr>
            </w:pPr>
            <w:r>
              <w:rPr>
                <w:rFonts w:hint="eastAsia" w:ascii="宋体" w:hAnsi="宋体" w:cs="宋体"/>
                <w:szCs w:val="21"/>
              </w:rPr>
              <w:t>36</w:t>
            </w:r>
          </w:p>
        </w:tc>
        <w:tc>
          <w:tcPr>
            <w:tcW w:w="933" w:type="dxa"/>
            <w:vAlign w:val="center"/>
          </w:tcPr>
          <w:p>
            <w:pPr>
              <w:spacing w:line="340" w:lineRule="exact"/>
              <w:jc w:val="left"/>
              <w:rPr>
                <w:rFonts w:ascii="宋体"/>
                <w:szCs w:val="21"/>
              </w:rPr>
            </w:pPr>
            <w:r>
              <w:rPr>
                <w:rFonts w:hint="eastAsia" w:ascii="宋体"/>
                <w:szCs w:val="21"/>
              </w:rPr>
              <w:t>副校长</w:t>
            </w:r>
          </w:p>
        </w:tc>
        <w:tc>
          <w:tcPr>
            <w:tcW w:w="710" w:type="dxa"/>
            <w:vAlign w:val="center"/>
          </w:tcPr>
          <w:p>
            <w:pPr>
              <w:spacing w:line="340" w:lineRule="exact"/>
              <w:jc w:val="center"/>
              <w:rPr>
                <w:rFonts w:ascii="宋体"/>
                <w:szCs w:val="21"/>
              </w:rPr>
            </w:pPr>
            <w:r>
              <w:rPr>
                <w:rFonts w:hint="eastAsia" w:ascii="宋体"/>
                <w:szCs w:val="21"/>
              </w:rPr>
              <w:t>硕士</w:t>
            </w:r>
          </w:p>
        </w:tc>
        <w:tc>
          <w:tcPr>
            <w:tcW w:w="739" w:type="dxa"/>
            <w:vAlign w:val="center"/>
          </w:tcPr>
          <w:p>
            <w:pPr>
              <w:spacing w:line="340" w:lineRule="exact"/>
              <w:jc w:val="center"/>
              <w:rPr>
                <w:rFonts w:ascii="宋体" w:hAnsi="宋体" w:cs="宋体"/>
                <w:szCs w:val="21"/>
              </w:rPr>
            </w:pPr>
            <w:r>
              <w:rPr>
                <w:rFonts w:hint="eastAsia" w:ascii="宋体" w:hAnsi="宋体" w:cs="宋体"/>
                <w:szCs w:val="21"/>
              </w:rPr>
              <w:t>物理</w:t>
            </w:r>
          </w:p>
        </w:tc>
        <w:tc>
          <w:tcPr>
            <w:tcW w:w="720" w:type="dxa"/>
            <w:vAlign w:val="center"/>
          </w:tcPr>
          <w:p>
            <w:pPr>
              <w:spacing w:line="340" w:lineRule="exact"/>
              <w:jc w:val="center"/>
              <w:rPr>
                <w:szCs w:val="21"/>
              </w:rPr>
            </w:pPr>
            <w:r>
              <w:rPr>
                <w:rFonts w:hint="eastAsia"/>
                <w:szCs w:val="21"/>
              </w:rPr>
              <w:t>中学一级</w:t>
            </w:r>
          </w:p>
        </w:tc>
        <w:tc>
          <w:tcPr>
            <w:tcW w:w="851" w:type="dxa"/>
            <w:vAlign w:val="center"/>
          </w:tcPr>
          <w:p>
            <w:pPr>
              <w:spacing w:line="340" w:lineRule="exact"/>
              <w:jc w:val="center"/>
              <w:rPr>
                <w:rFonts w:ascii="宋体"/>
                <w:szCs w:val="21"/>
              </w:rPr>
            </w:pPr>
            <w:r>
              <w:rPr>
                <w:rFonts w:hint="eastAsia" w:ascii="宋体"/>
                <w:szCs w:val="21"/>
              </w:rPr>
              <w:t>物理</w:t>
            </w:r>
          </w:p>
        </w:tc>
        <w:tc>
          <w:tcPr>
            <w:tcW w:w="567" w:type="dxa"/>
            <w:vAlign w:val="center"/>
          </w:tcPr>
          <w:p>
            <w:pPr>
              <w:spacing w:line="340" w:lineRule="exact"/>
              <w:jc w:val="center"/>
              <w:rPr>
                <w:rFonts w:ascii="宋体" w:hAnsi="宋体" w:cs="宋体"/>
                <w:szCs w:val="21"/>
              </w:rPr>
            </w:pPr>
            <w:r>
              <w:rPr>
                <w:rFonts w:hint="eastAsia" w:ascii="宋体" w:hAnsi="宋体" w:cs="宋体"/>
                <w:szCs w:val="21"/>
              </w:rPr>
              <w:t>4</w:t>
            </w:r>
          </w:p>
        </w:tc>
        <w:tc>
          <w:tcPr>
            <w:tcW w:w="3260" w:type="dxa"/>
          </w:tcPr>
          <w:p>
            <w:pPr>
              <w:adjustRightInd w:val="0"/>
              <w:jc w:val="left"/>
              <w:textAlignment w:val="baseline"/>
              <w:rPr>
                <w:rFonts w:ascii="宋体"/>
              </w:rPr>
            </w:pPr>
            <w:r>
              <w:rPr>
                <w:szCs w:val="21"/>
              </w:rPr>
              <w:t>武进区政协先进工作者、武进区政府嘉奖、江苏省职业学校创业能力大赛优秀指导教师奖、武进区优秀党员、常州市职业学校公共基础课“两课”评比三等奖等荣誉</w:t>
            </w:r>
            <w:r>
              <w:rPr>
                <w:rFonts w:hint="eastAsia"/>
                <w:szCs w:val="21"/>
              </w:rPr>
              <w:t>、</w:t>
            </w:r>
            <w:r>
              <w:rPr>
                <w:szCs w:val="21"/>
              </w:rPr>
              <w:t>武进区青年教师基本功竞赛一等奖、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340" w:lineRule="exact"/>
              <w:jc w:val="center"/>
              <w:rPr>
                <w:szCs w:val="21"/>
              </w:rPr>
            </w:pPr>
            <w:r>
              <w:rPr>
                <w:rFonts w:hint="eastAsia"/>
                <w:szCs w:val="21"/>
              </w:rPr>
              <w:t>马晓峰</w:t>
            </w:r>
          </w:p>
        </w:tc>
        <w:tc>
          <w:tcPr>
            <w:tcW w:w="461" w:type="dxa"/>
            <w:vAlign w:val="center"/>
          </w:tcPr>
          <w:p>
            <w:pPr>
              <w:spacing w:line="340" w:lineRule="exact"/>
              <w:jc w:val="center"/>
              <w:rPr>
                <w:rFonts w:ascii="宋体" w:hAnsi="宋体" w:cs="宋体"/>
                <w:szCs w:val="21"/>
              </w:rPr>
            </w:pPr>
            <w:r>
              <w:rPr>
                <w:rFonts w:hint="eastAsia"/>
                <w:szCs w:val="21"/>
              </w:rPr>
              <w:t>男</w:t>
            </w:r>
          </w:p>
        </w:tc>
        <w:tc>
          <w:tcPr>
            <w:tcW w:w="517" w:type="dxa"/>
            <w:vAlign w:val="center"/>
          </w:tcPr>
          <w:p>
            <w:pPr>
              <w:spacing w:line="340" w:lineRule="exact"/>
              <w:jc w:val="center"/>
              <w:rPr>
                <w:rFonts w:ascii="宋体" w:hAnsi="宋体" w:cs="宋体"/>
                <w:szCs w:val="21"/>
              </w:rPr>
            </w:pPr>
            <w:r>
              <w:rPr>
                <w:rFonts w:hint="eastAsia" w:ascii="宋体" w:hAnsi="宋体" w:cs="宋体"/>
                <w:szCs w:val="21"/>
              </w:rPr>
              <w:t>42</w:t>
            </w:r>
          </w:p>
        </w:tc>
        <w:tc>
          <w:tcPr>
            <w:tcW w:w="933" w:type="dxa"/>
            <w:vAlign w:val="center"/>
          </w:tcPr>
          <w:p>
            <w:pPr>
              <w:spacing w:line="340" w:lineRule="exact"/>
              <w:jc w:val="left"/>
              <w:rPr>
                <w:rFonts w:ascii="宋体"/>
                <w:szCs w:val="21"/>
              </w:rPr>
            </w:pPr>
            <w:r>
              <w:rPr>
                <w:rFonts w:hint="eastAsia" w:ascii="宋体"/>
                <w:szCs w:val="21"/>
              </w:rPr>
              <w:t>副校长兼总务处主任</w:t>
            </w:r>
          </w:p>
        </w:tc>
        <w:tc>
          <w:tcPr>
            <w:tcW w:w="710" w:type="dxa"/>
            <w:vAlign w:val="center"/>
          </w:tcPr>
          <w:p>
            <w:pPr>
              <w:spacing w:line="340" w:lineRule="exact"/>
              <w:jc w:val="center"/>
              <w:rPr>
                <w:szCs w:val="21"/>
              </w:rPr>
            </w:pPr>
            <w:r>
              <w:rPr>
                <w:rFonts w:hint="eastAsia" w:ascii="宋体"/>
                <w:szCs w:val="21"/>
              </w:rPr>
              <w:t>本科</w:t>
            </w:r>
          </w:p>
        </w:tc>
        <w:tc>
          <w:tcPr>
            <w:tcW w:w="739" w:type="dxa"/>
            <w:vAlign w:val="center"/>
          </w:tcPr>
          <w:p>
            <w:pPr>
              <w:spacing w:line="340" w:lineRule="exact"/>
              <w:jc w:val="center"/>
              <w:rPr>
                <w:rFonts w:ascii="宋体" w:hAnsi="宋体" w:cs="宋体"/>
                <w:szCs w:val="21"/>
              </w:rPr>
            </w:pPr>
            <w:r>
              <w:rPr>
                <w:rFonts w:hint="eastAsia" w:ascii="宋体" w:hAnsi="宋体" w:cs="宋体"/>
                <w:szCs w:val="21"/>
              </w:rPr>
              <w:t>中文</w:t>
            </w:r>
          </w:p>
        </w:tc>
        <w:tc>
          <w:tcPr>
            <w:tcW w:w="720" w:type="dxa"/>
            <w:vAlign w:val="center"/>
          </w:tcPr>
          <w:p>
            <w:pPr>
              <w:spacing w:line="340" w:lineRule="exact"/>
              <w:jc w:val="center"/>
              <w:rPr>
                <w:rFonts w:ascii="宋体" w:hAnsi="宋体" w:cs="宋体"/>
                <w:szCs w:val="21"/>
              </w:rPr>
            </w:pPr>
            <w:r>
              <w:rPr>
                <w:rFonts w:hint="eastAsia"/>
                <w:szCs w:val="21"/>
              </w:rPr>
              <w:t>中学一级</w:t>
            </w:r>
          </w:p>
        </w:tc>
        <w:tc>
          <w:tcPr>
            <w:tcW w:w="851" w:type="dxa"/>
            <w:vAlign w:val="center"/>
          </w:tcPr>
          <w:p>
            <w:pPr>
              <w:spacing w:line="340" w:lineRule="exact"/>
              <w:jc w:val="center"/>
              <w:rPr>
                <w:rFonts w:ascii="宋体"/>
                <w:szCs w:val="21"/>
              </w:rPr>
            </w:pPr>
            <w:r>
              <w:rPr>
                <w:rFonts w:hint="eastAsia" w:ascii="宋体"/>
                <w:szCs w:val="21"/>
              </w:rPr>
              <w:t>语文</w:t>
            </w:r>
          </w:p>
        </w:tc>
        <w:tc>
          <w:tcPr>
            <w:tcW w:w="567" w:type="dxa"/>
            <w:vAlign w:val="center"/>
          </w:tcPr>
          <w:p>
            <w:pPr>
              <w:spacing w:line="340" w:lineRule="exact"/>
              <w:jc w:val="center"/>
              <w:rPr>
                <w:rFonts w:ascii="宋体" w:hAnsi="宋体" w:cs="宋体"/>
                <w:szCs w:val="21"/>
              </w:rPr>
            </w:pPr>
            <w:r>
              <w:rPr>
                <w:rFonts w:hint="eastAsia" w:ascii="宋体" w:hAnsi="宋体" w:cs="宋体"/>
                <w:szCs w:val="21"/>
              </w:rPr>
              <w:t>10</w:t>
            </w:r>
          </w:p>
        </w:tc>
        <w:tc>
          <w:tcPr>
            <w:tcW w:w="3260" w:type="dxa"/>
          </w:tcPr>
          <w:p>
            <w:pPr>
              <w:adjustRightInd w:val="0"/>
              <w:ind w:right="-196"/>
              <w:jc w:val="left"/>
              <w:textAlignment w:val="baseline"/>
              <w:rPr>
                <w:szCs w:val="21"/>
              </w:rPr>
            </w:pPr>
            <w:r>
              <w:rPr>
                <w:szCs w:val="21"/>
              </w:rPr>
              <w:t>武进区政府嘉奖、</w:t>
            </w:r>
          </w:p>
          <w:p>
            <w:pPr>
              <w:adjustRightInd w:val="0"/>
              <w:ind w:right="-196"/>
              <w:jc w:val="left"/>
              <w:textAlignment w:val="baseline"/>
              <w:rPr>
                <w:szCs w:val="21"/>
              </w:rPr>
            </w:pPr>
            <w:r>
              <w:rPr>
                <w:rFonts w:hint="eastAsia"/>
                <w:szCs w:val="21"/>
              </w:rPr>
              <w:t>武进</w:t>
            </w:r>
            <w:r>
              <w:rPr>
                <w:szCs w:val="21"/>
              </w:rPr>
              <w:t>区优秀班主任</w:t>
            </w:r>
            <w:r>
              <w:rPr>
                <w:rFonts w:hint="eastAsia"/>
                <w:szCs w:val="21"/>
              </w:rPr>
              <w:t>、</w:t>
            </w:r>
          </w:p>
          <w:p>
            <w:pPr>
              <w:adjustRightInd w:val="0"/>
              <w:ind w:right="-196"/>
              <w:jc w:val="left"/>
              <w:textAlignment w:val="baseline"/>
              <w:rPr>
                <w:rFonts w:ascii="宋体"/>
              </w:rPr>
            </w:pPr>
            <w:r>
              <w:rPr>
                <w:szCs w:val="21"/>
              </w:rPr>
              <w:t>校“十大杰出贡献人物”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340" w:lineRule="exact"/>
              <w:jc w:val="center"/>
              <w:rPr>
                <w:rFonts w:ascii="宋体" w:hAnsi="宋体" w:cs="宋体"/>
                <w:szCs w:val="21"/>
              </w:rPr>
            </w:pPr>
            <w:r>
              <w:rPr>
                <w:rFonts w:hint="eastAsia"/>
                <w:szCs w:val="21"/>
              </w:rPr>
              <w:t>崔  勇</w:t>
            </w:r>
          </w:p>
        </w:tc>
        <w:tc>
          <w:tcPr>
            <w:tcW w:w="461" w:type="dxa"/>
            <w:vAlign w:val="center"/>
          </w:tcPr>
          <w:p>
            <w:pPr>
              <w:spacing w:line="340" w:lineRule="exact"/>
              <w:jc w:val="center"/>
              <w:rPr>
                <w:rFonts w:ascii="宋体" w:hAnsi="宋体" w:cs="宋体"/>
                <w:szCs w:val="21"/>
              </w:rPr>
            </w:pPr>
            <w:r>
              <w:rPr>
                <w:rFonts w:hint="eastAsia"/>
                <w:szCs w:val="21"/>
              </w:rPr>
              <w:t>男</w:t>
            </w:r>
          </w:p>
        </w:tc>
        <w:tc>
          <w:tcPr>
            <w:tcW w:w="517" w:type="dxa"/>
            <w:vAlign w:val="center"/>
          </w:tcPr>
          <w:p>
            <w:pPr>
              <w:spacing w:line="340" w:lineRule="exact"/>
              <w:jc w:val="center"/>
              <w:rPr>
                <w:rFonts w:ascii="宋体" w:hAnsi="宋体" w:cs="宋体"/>
                <w:szCs w:val="21"/>
              </w:rPr>
            </w:pPr>
            <w:r>
              <w:rPr>
                <w:rFonts w:hint="eastAsia" w:ascii="宋体" w:hAnsi="宋体" w:cs="宋体"/>
                <w:szCs w:val="21"/>
              </w:rPr>
              <w:t>41</w:t>
            </w:r>
          </w:p>
        </w:tc>
        <w:tc>
          <w:tcPr>
            <w:tcW w:w="933" w:type="dxa"/>
            <w:vAlign w:val="center"/>
          </w:tcPr>
          <w:p>
            <w:pPr>
              <w:spacing w:line="340" w:lineRule="exact"/>
              <w:jc w:val="left"/>
              <w:rPr>
                <w:szCs w:val="21"/>
              </w:rPr>
            </w:pPr>
            <w:r>
              <w:rPr>
                <w:rFonts w:hint="eastAsia"/>
                <w:szCs w:val="21"/>
              </w:rPr>
              <w:t>党政办主任</w:t>
            </w:r>
          </w:p>
        </w:tc>
        <w:tc>
          <w:tcPr>
            <w:tcW w:w="710" w:type="dxa"/>
            <w:vAlign w:val="center"/>
          </w:tcPr>
          <w:p>
            <w:pPr>
              <w:spacing w:line="340" w:lineRule="exact"/>
              <w:jc w:val="center"/>
              <w:rPr>
                <w:rFonts w:ascii="宋体" w:hAnsi="宋体" w:cs="宋体"/>
                <w:szCs w:val="21"/>
              </w:rPr>
            </w:pPr>
            <w:r>
              <w:rPr>
                <w:rFonts w:hint="eastAsia"/>
                <w:szCs w:val="21"/>
              </w:rPr>
              <w:t>本科</w:t>
            </w:r>
          </w:p>
        </w:tc>
        <w:tc>
          <w:tcPr>
            <w:tcW w:w="739" w:type="dxa"/>
            <w:vAlign w:val="center"/>
          </w:tcPr>
          <w:p>
            <w:pPr>
              <w:spacing w:line="340" w:lineRule="exact"/>
              <w:jc w:val="center"/>
              <w:rPr>
                <w:rFonts w:ascii="宋体" w:hAnsi="宋体" w:cs="宋体"/>
                <w:szCs w:val="21"/>
              </w:rPr>
            </w:pPr>
            <w:r>
              <w:rPr>
                <w:rFonts w:hint="eastAsia" w:ascii="宋体" w:hAnsi="宋体" w:cs="宋体"/>
                <w:szCs w:val="21"/>
              </w:rPr>
              <w:t>历史</w:t>
            </w:r>
          </w:p>
        </w:tc>
        <w:tc>
          <w:tcPr>
            <w:tcW w:w="720" w:type="dxa"/>
            <w:vAlign w:val="center"/>
          </w:tcPr>
          <w:p>
            <w:pPr>
              <w:spacing w:line="340" w:lineRule="exact"/>
              <w:jc w:val="center"/>
              <w:rPr>
                <w:rFonts w:ascii="宋体" w:hAnsi="宋体" w:cs="宋体"/>
                <w:szCs w:val="21"/>
              </w:rPr>
            </w:pPr>
            <w:r>
              <w:rPr>
                <w:rFonts w:hint="eastAsia"/>
                <w:szCs w:val="21"/>
              </w:rPr>
              <w:t>中学高级</w:t>
            </w:r>
          </w:p>
        </w:tc>
        <w:tc>
          <w:tcPr>
            <w:tcW w:w="851" w:type="dxa"/>
            <w:vAlign w:val="center"/>
          </w:tcPr>
          <w:p>
            <w:pPr>
              <w:spacing w:line="340" w:lineRule="exact"/>
              <w:jc w:val="center"/>
              <w:rPr>
                <w:rFonts w:ascii="宋体" w:hAnsi="宋体" w:cs="宋体"/>
                <w:szCs w:val="21"/>
              </w:rPr>
            </w:pPr>
            <w:r>
              <w:rPr>
                <w:rFonts w:hint="eastAsia"/>
                <w:szCs w:val="21"/>
              </w:rPr>
              <w:t>历史</w:t>
            </w:r>
          </w:p>
        </w:tc>
        <w:tc>
          <w:tcPr>
            <w:tcW w:w="567" w:type="dxa"/>
            <w:vAlign w:val="center"/>
          </w:tcPr>
          <w:p>
            <w:pPr>
              <w:spacing w:line="340" w:lineRule="exact"/>
              <w:jc w:val="center"/>
              <w:rPr>
                <w:rFonts w:ascii="宋体" w:hAnsi="宋体" w:cs="宋体"/>
                <w:szCs w:val="21"/>
              </w:rPr>
            </w:pPr>
            <w:r>
              <w:rPr>
                <w:rFonts w:hint="eastAsia" w:ascii="宋体" w:hAnsi="宋体" w:cs="宋体"/>
                <w:szCs w:val="21"/>
              </w:rPr>
              <w:t>6</w:t>
            </w:r>
          </w:p>
        </w:tc>
        <w:tc>
          <w:tcPr>
            <w:tcW w:w="3260" w:type="dxa"/>
          </w:tcPr>
          <w:p>
            <w:pPr>
              <w:adjustRightInd w:val="0"/>
              <w:ind w:right="-152"/>
              <w:jc w:val="left"/>
              <w:textAlignment w:val="baseline"/>
              <w:rPr>
                <w:rFonts w:ascii="宋体"/>
              </w:rPr>
            </w:pPr>
            <w:r>
              <w:rPr>
                <w:rFonts w:hint="eastAsia" w:ascii="宋体"/>
              </w:rPr>
              <w:t>常州市教学能手、武进区学科带头人、</w:t>
            </w:r>
            <w:r>
              <w:rPr>
                <w:szCs w:val="21"/>
              </w:rPr>
              <w:t>常州市德育先进工作者</w:t>
            </w:r>
            <w:r>
              <w:rPr>
                <w:rFonts w:hint="eastAsia"/>
                <w:szCs w:val="21"/>
              </w:rPr>
              <w:t>、</w:t>
            </w:r>
            <w:r>
              <w:rPr>
                <w:szCs w:val="21"/>
              </w:rPr>
              <w:t>武进区现代教育技术先进个人</w:t>
            </w:r>
            <w:r>
              <w:rPr>
                <w:rFonts w:hint="eastAsia"/>
                <w:szCs w:val="21"/>
              </w:rPr>
              <w:t>、武进区政府嘉奖、</w:t>
            </w:r>
            <w:r>
              <w:rPr>
                <w:szCs w:val="21"/>
              </w:rPr>
              <w:t>武进区青年教师基本功竞赛一等奖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340" w:lineRule="exact"/>
              <w:jc w:val="center"/>
              <w:rPr>
                <w:rFonts w:ascii="宋体" w:hAnsi="宋体" w:cs="宋体"/>
                <w:szCs w:val="21"/>
              </w:rPr>
            </w:pPr>
            <w:r>
              <w:rPr>
                <w:rFonts w:hint="eastAsia" w:ascii="宋体" w:hAnsi="宋体" w:cs="宋体"/>
                <w:szCs w:val="21"/>
              </w:rPr>
              <w:t>吴  燕</w:t>
            </w:r>
          </w:p>
        </w:tc>
        <w:tc>
          <w:tcPr>
            <w:tcW w:w="461" w:type="dxa"/>
            <w:vAlign w:val="center"/>
          </w:tcPr>
          <w:p>
            <w:pPr>
              <w:spacing w:line="340" w:lineRule="exact"/>
              <w:jc w:val="center"/>
              <w:rPr>
                <w:rFonts w:ascii="宋体" w:hAnsi="宋体" w:cs="宋体"/>
                <w:szCs w:val="21"/>
              </w:rPr>
            </w:pPr>
            <w:r>
              <w:rPr>
                <w:rFonts w:hint="eastAsia" w:ascii="宋体" w:hAnsi="宋体" w:cs="宋体"/>
                <w:szCs w:val="21"/>
              </w:rPr>
              <w:t>女</w:t>
            </w:r>
          </w:p>
        </w:tc>
        <w:tc>
          <w:tcPr>
            <w:tcW w:w="517" w:type="dxa"/>
            <w:vAlign w:val="center"/>
          </w:tcPr>
          <w:p>
            <w:pPr>
              <w:spacing w:line="340" w:lineRule="exact"/>
              <w:jc w:val="center"/>
              <w:rPr>
                <w:rFonts w:ascii="宋体" w:hAnsi="宋体" w:cs="宋体"/>
                <w:szCs w:val="21"/>
              </w:rPr>
            </w:pPr>
            <w:r>
              <w:rPr>
                <w:rFonts w:hint="eastAsia" w:ascii="宋体" w:hAnsi="宋体" w:cs="宋体"/>
                <w:szCs w:val="21"/>
              </w:rPr>
              <w:t>34</w:t>
            </w:r>
          </w:p>
        </w:tc>
        <w:tc>
          <w:tcPr>
            <w:tcW w:w="933" w:type="dxa"/>
            <w:vAlign w:val="center"/>
          </w:tcPr>
          <w:p>
            <w:pPr>
              <w:spacing w:line="340" w:lineRule="exact"/>
              <w:jc w:val="left"/>
              <w:rPr>
                <w:rFonts w:ascii="宋体" w:hAnsi="宋体" w:cs="宋体"/>
                <w:szCs w:val="21"/>
              </w:rPr>
            </w:pPr>
            <w:r>
              <w:rPr>
                <w:rFonts w:hint="eastAsia" w:ascii="宋体" w:hAnsi="宋体" w:cs="宋体"/>
                <w:szCs w:val="21"/>
              </w:rPr>
              <w:t>党政办副主任</w:t>
            </w:r>
          </w:p>
        </w:tc>
        <w:tc>
          <w:tcPr>
            <w:tcW w:w="710" w:type="dxa"/>
            <w:vAlign w:val="center"/>
          </w:tcPr>
          <w:p>
            <w:pPr>
              <w:spacing w:line="340" w:lineRule="exact"/>
              <w:jc w:val="center"/>
              <w:rPr>
                <w:rFonts w:ascii="宋体" w:hAnsi="宋体" w:cs="宋体"/>
                <w:szCs w:val="21"/>
              </w:rPr>
            </w:pPr>
            <w:r>
              <w:rPr>
                <w:rFonts w:hint="eastAsia" w:ascii="宋体" w:hAnsi="宋体" w:cs="宋体"/>
                <w:szCs w:val="21"/>
              </w:rPr>
              <w:t>本科</w:t>
            </w:r>
          </w:p>
        </w:tc>
        <w:tc>
          <w:tcPr>
            <w:tcW w:w="739" w:type="dxa"/>
            <w:vAlign w:val="center"/>
          </w:tcPr>
          <w:p>
            <w:pPr>
              <w:spacing w:line="340" w:lineRule="exact"/>
              <w:jc w:val="center"/>
              <w:rPr>
                <w:rFonts w:ascii="宋体" w:hAnsi="宋体" w:cs="宋体"/>
                <w:szCs w:val="21"/>
              </w:rPr>
            </w:pPr>
            <w:r>
              <w:rPr>
                <w:rFonts w:hint="eastAsia" w:ascii="宋体" w:hAnsi="宋体" w:cs="宋体"/>
                <w:szCs w:val="21"/>
              </w:rPr>
              <w:t>美术</w:t>
            </w:r>
          </w:p>
        </w:tc>
        <w:tc>
          <w:tcPr>
            <w:tcW w:w="720" w:type="dxa"/>
            <w:vAlign w:val="center"/>
          </w:tcPr>
          <w:p>
            <w:pPr>
              <w:spacing w:line="340" w:lineRule="exact"/>
              <w:jc w:val="center"/>
              <w:rPr>
                <w:rFonts w:ascii="宋体" w:hAnsi="宋体" w:cs="宋体"/>
                <w:szCs w:val="21"/>
              </w:rPr>
            </w:pPr>
            <w:r>
              <w:rPr>
                <w:rFonts w:hint="eastAsia" w:ascii="宋体" w:hAnsi="宋体" w:cs="宋体"/>
                <w:szCs w:val="21"/>
              </w:rPr>
              <w:t>中学一级</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美术</w:t>
            </w:r>
          </w:p>
        </w:tc>
        <w:tc>
          <w:tcPr>
            <w:tcW w:w="567" w:type="dxa"/>
            <w:vAlign w:val="center"/>
          </w:tcPr>
          <w:p>
            <w:pPr>
              <w:spacing w:line="340" w:lineRule="exact"/>
              <w:jc w:val="center"/>
              <w:rPr>
                <w:rFonts w:ascii="宋体" w:hAnsi="宋体" w:cs="宋体"/>
                <w:szCs w:val="21"/>
              </w:rPr>
            </w:pPr>
            <w:r>
              <w:rPr>
                <w:rFonts w:hint="eastAsia" w:ascii="宋体" w:hAnsi="宋体" w:cs="宋体"/>
                <w:szCs w:val="21"/>
              </w:rPr>
              <w:t>10</w:t>
            </w:r>
          </w:p>
        </w:tc>
        <w:tc>
          <w:tcPr>
            <w:tcW w:w="3260" w:type="dxa"/>
          </w:tcPr>
          <w:p>
            <w:pPr>
              <w:adjustRightInd w:val="0"/>
              <w:ind w:right="-152"/>
              <w:jc w:val="left"/>
              <w:textAlignment w:val="baseline"/>
              <w:rPr>
                <w:rFonts w:ascii="宋体"/>
              </w:rPr>
            </w:pPr>
            <w:r>
              <w:rPr>
                <w:rFonts w:hint="eastAsia" w:ascii="宋体"/>
              </w:rPr>
              <w:t>武进区骨干教师、武进区教育宣传个人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340" w:lineRule="exact"/>
              <w:jc w:val="center"/>
              <w:rPr>
                <w:szCs w:val="21"/>
              </w:rPr>
            </w:pPr>
            <w:r>
              <w:rPr>
                <w:rFonts w:hint="eastAsia"/>
                <w:szCs w:val="21"/>
              </w:rPr>
              <w:t>赵瑜佳</w:t>
            </w:r>
          </w:p>
        </w:tc>
        <w:tc>
          <w:tcPr>
            <w:tcW w:w="461" w:type="dxa"/>
            <w:vAlign w:val="center"/>
          </w:tcPr>
          <w:p>
            <w:pPr>
              <w:spacing w:line="340" w:lineRule="exact"/>
              <w:jc w:val="center"/>
              <w:rPr>
                <w:szCs w:val="21"/>
              </w:rPr>
            </w:pPr>
            <w:r>
              <w:rPr>
                <w:rFonts w:hint="eastAsia"/>
                <w:szCs w:val="21"/>
              </w:rPr>
              <w:t>女</w:t>
            </w:r>
          </w:p>
        </w:tc>
        <w:tc>
          <w:tcPr>
            <w:tcW w:w="517" w:type="dxa"/>
            <w:vAlign w:val="center"/>
          </w:tcPr>
          <w:p>
            <w:pPr>
              <w:spacing w:line="340" w:lineRule="exact"/>
              <w:jc w:val="center"/>
              <w:rPr>
                <w:rFonts w:ascii="宋体" w:hAnsi="宋体" w:cs="宋体"/>
                <w:szCs w:val="21"/>
              </w:rPr>
            </w:pPr>
            <w:r>
              <w:rPr>
                <w:rFonts w:hint="eastAsia" w:ascii="宋体" w:hAnsi="宋体" w:cs="宋体"/>
                <w:szCs w:val="21"/>
              </w:rPr>
              <w:t>26</w:t>
            </w:r>
          </w:p>
        </w:tc>
        <w:tc>
          <w:tcPr>
            <w:tcW w:w="933" w:type="dxa"/>
            <w:vAlign w:val="center"/>
          </w:tcPr>
          <w:p>
            <w:pPr>
              <w:spacing w:line="340" w:lineRule="exact"/>
              <w:jc w:val="left"/>
              <w:rPr>
                <w:rFonts w:ascii="宋体"/>
                <w:szCs w:val="21"/>
              </w:rPr>
            </w:pPr>
            <w:r>
              <w:rPr>
                <w:rFonts w:hint="eastAsia" w:ascii="宋体"/>
                <w:szCs w:val="21"/>
              </w:rPr>
              <w:t>党政办干事兼团委副书记</w:t>
            </w:r>
          </w:p>
        </w:tc>
        <w:tc>
          <w:tcPr>
            <w:tcW w:w="710" w:type="dxa"/>
            <w:vAlign w:val="center"/>
          </w:tcPr>
          <w:p>
            <w:pPr>
              <w:spacing w:line="340" w:lineRule="exact"/>
              <w:jc w:val="center"/>
              <w:rPr>
                <w:rFonts w:ascii="宋体"/>
                <w:szCs w:val="21"/>
              </w:rPr>
            </w:pPr>
            <w:r>
              <w:rPr>
                <w:rFonts w:hint="eastAsia" w:ascii="宋体"/>
                <w:szCs w:val="21"/>
              </w:rPr>
              <w:t>本科</w:t>
            </w:r>
          </w:p>
        </w:tc>
        <w:tc>
          <w:tcPr>
            <w:tcW w:w="739" w:type="dxa"/>
            <w:vAlign w:val="center"/>
          </w:tcPr>
          <w:p>
            <w:pPr>
              <w:spacing w:line="340" w:lineRule="exact"/>
              <w:jc w:val="center"/>
              <w:rPr>
                <w:rFonts w:ascii="宋体" w:hAnsi="宋体" w:cs="宋体"/>
                <w:szCs w:val="21"/>
              </w:rPr>
            </w:pPr>
            <w:r>
              <w:rPr>
                <w:rFonts w:hint="eastAsia" w:ascii="宋体" w:hAnsi="宋体" w:cs="宋体"/>
                <w:szCs w:val="21"/>
              </w:rPr>
              <w:t>中文</w:t>
            </w:r>
          </w:p>
        </w:tc>
        <w:tc>
          <w:tcPr>
            <w:tcW w:w="720" w:type="dxa"/>
            <w:vAlign w:val="center"/>
          </w:tcPr>
          <w:p>
            <w:pPr>
              <w:spacing w:line="340" w:lineRule="exact"/>
              <w:jc w:val="center"/>
              <w:rPr>
                <w:szCs w:val="21"/>
              </w:rPr>
            </w:pPr>
            <w:r>
              <w:rPr>
                <w:rFonts w:hint="eastAsia"/>
                <w:szCs w:val="21"/>
              </w:rPr>
              <w:t>中学二级</w:t>
            </w:r>
          </w:p>
        </w:tc>
        <w:tc>
          <w:tcPr>
            <w:tcW w:w="851" w:type="dxa"/>
            <w:vAlign w:val="center"/>
          </w:tcPr>
          <w:p>
            <w:pPr>
              <w:spacing w:line="340" w:lineRule="exact"/>
              <w:jc w:val="center"/>
              <w:rPr>
                <w:rFonts w:ascii="宋体"/>
                <w:szCs w:val="21"/>
              </w:rPr>
            </w:pPr>
            <w:r>
              <w:rPr>
                <w:rFonts w:hint="eastAsia" w:ascii="宋体"/>
                <w:szCs w:val="21"/>
              </w:rPr>
              <w:t>语文</w:t>
            </w:r>
          </w:p>
        </w:tc>
        <w:tc>
          <w:tcPr>
            <w:tcW w:w="567" w:type="dxa"/>
            <w:vAlign w:val="center"/>
          </w:tcPr>
          <w:p>
            <w:pPr>
              <w:spacing w:line="340" w:lineRule="exact"/>
              <w:jc w:val="center"/>
              <w:rPr>
                <w:rFonts w:ascii="宋体" w:hAnsi="宋体" w:cs="宋体"/>
                <w:szCs w:val="21"/>
              </w:rPr>
            </w:pPr>
            <w:r>
              <w:rPr>
                <w:rFonts w:hint="eastAsia" w:ascii="宋体" w:hAnsi="宋体" w:cs="宋体"/>
                <w:szCs w:val="21"/>
              </w:rPr>
              <w:t>10</w:t>
            </w:r>
          </w:p>
        </w:tc>
        <w:tc>
          <w:tcPr>
            <w:tcW w:w="3260" w:type="dxa"/>
          </w:tcPr>
          <w:p>
            <w:pPr>
              <w:adjustRightInd w:val="0"/>
              <w:ind w:right="1381"/>
              <w:jc w:val="left"/>
              <w:textAlignment w:val="baseline"/>
              <w:rPr>
                <w:rFonts w:ascii="宋体"/>
              </w:rPr>
            </w:pPr>
            <w:r>
              <w:rPr>
                <w:rFonts w:hint="eastAsia" w:ascii="宋体"/>
              </w:rPr>
              <w:t>武进区政府嘉奖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340" w:lineRule="exact"/>
              <w:jc w:val="center"/>
              <w:rPr>
                <w:rFonts w:ascii="宋体" w:hAnsi="宋体" w:cs="宋体"/>
                <w:szCs w:val="21"/>
              </w:rPr>
            </w:pPr>
            <w:r>
              <w:rPr>
                <w:rFonts w:hint="eastAsia"/>
                <w:szCs w:val="21"/>
              </w:rPr>
              <w:t>费云德</w:t>
            </w:r>
          </w:p>
        </w:tc>
        <w:tc>
          <w:tcPr>
            <w:tcW w:w="461" w:type="dxa"/>
            <w:vAlign w:val="center"/>
          </w:tcPr>
          <w:p>
            <w:pPr>
              <w:spacing w:line="340" w:lineRule="exact"/>
              <w:jc w:val="center"/>
              <w:rPr>
                <w:rFonts w:ascii="宋体" w:hAnsi="宋体" w:cs="宋体"/>
                <w:szCs w:val="21"/>
              </w:rPr>
            </w:pPr>
            <w:r>
              <w:rPr>
                <w:rFonts w:hint="eastAsia"/>
                <w:szCs w:val="21"/>
              </w:rPr>
              <w:t>男</w:t>
            </w:r>
          </w:p>
        </w:tc>
        <w:tc>
          <w:tcPr>
            <w:tcW w:w="517" w:type="dxa"/>
            <w:vAlign w:val="center"/>
          </w:tcPr>
          <w:p>
            <w:pPr>
              <w:spacing w:line="340" w:lineRule="exact"/>
              <w:jc w:val="center"/>
              <w:rPr>
                <w:rFonts w:ascii="宋体" w:hAnsi="宋体" w:cs="宋体"/>
                <w:szCs w:val="21"/>
              </w:rPr>
            </w:pPr>
            <w:r>
              <w:rPr>
                <w:rFonts w:hint="eastAsia" w:ascii="宋体" w:hAnsi="宋体" w:cs="宋体"/>
                <w:szCs w:val="21"/>
              </w:rPr>
              <w:t>44</w:t>
            </w:r>
          </w:p>
        </w:tc>
        <w:tc>
          <w:tcPr>
            <w:tcW w:w="933" w:type="dxa"/>
            <w:vAlign w:val="center"/>
          </w:tcPr>
          <w:p>
            <w:pPr>
              <w:spacing w:line="340" w:lineRule="exact"/>
              <w:jc w:val="left"/>
              <w:rPr>
                <w:szCs w:val="21"/>
              </w:rPr>
            </w:pPr>
            <w:r>
              <w:rPr>
                <w:rFonts w:hint="eastAsia"/>
                <w:szCs w:val="21"/>
              </w:rPr>
              <w:t>政教处</w:t>
            </w:r>
          </w:p>
          <w:p>
            <w:pPr>
              <w:spacing w:line="340" w:lineRule="exact"/>
              <w:jc w:val="left"/>
              <w:rPr>
                <w:rFonts w:ascii="宋体" w:hAnsi="宋体" w:cs="宋体"/>
                <w:szCs w:val="21"/>
              </w:rPr>
            </w:pPr>
            <w:r>
              <w:rPr>
                <w:rFonts w:hint="eastAsia"/>
                <w:szCs w:val="21"/>
              </w:rPr>
              <w:t>主任</w:t>
            </w:r>
          </w:p>
        </w:tc>
        <w:tc>
          <w:tcPr>
            <w:tcW w:w="710" w:type="dxa"/>
            <w:vAlign w:val="center"/>
          </w:tcPr>
          <w:p>
            <w:pPr>
              <w:spacing w:line="340" w:lineRule="exact"/>
              <w:jc w:val="center"/>
              <w:rPr>
                <w:rFonts w:ascii="宋体" w:hAnsi="宋体" w:cs="宋体"/>
                <w:szCs w:val="21"/>
              </w:rPr>
            </w:pPr>
            <w:r>
              <w:rPr>
                <w:rFonts w:hint="eastAsia"/>
                <w:szCs w:val="21"/>
              </w:rPr>
              <w:t>本科</w:t>
            </w:r>
          </w:p>
        </w:tc>
        <w:tc>
          <w:tcPr>
            <w:tcW w:w="739" w:type="dxa"/>
            <w:vAlign w:val="center"/>
          </w:tcPr>
          <w:p>
            <w:pPr>
              <w:spacing w:line="340" w:lineRule="exact"/>
              <w:jc w:val="center"/>
              <w:rPr>
                <w:rFonts w:ascii="宋体" w:hAnsi="宋体" w:cs="宋体"/>
                <w:szCs w:val="21"/>
              </w:rPr>
            </w:pPr>
            <w:r>
              <w:rPr>
                <w:rFonts w:hint="eastAsia" w:ascii="宋体" w:hAnsi="宋体" w:cs="宋体"/>
                <w:szCs w:val="21"/>
              </w:rPr>
              <w:t>英语</w:t>
            </w:r>
          </w:p>
        </w:tc>
        <w:tc>
          <w:tcPr>
            <w:tcW w:w="720" w:type="dxa"/>
            <w:vAlign w:val="center"/>
          </w:tcPr>
          <w:p>
            <w:pPr>
              <w:spacing w:line="340" w:lineRule="exact"/>
              <w:jc w:val="center"/>
              <w:rPr>
                <w:rFonts w:ascii="宋体" w:hAnsi="宋体" w:cs="宋体"/>
                <w:szCs w:val="21"/>
              </w:rPr>
            </w:pPr>
            <w:r>
              <w:rPr>
                <w:rFonts w:hint="eastAsia"/>
                <w:szCs w:val="21"/>
              </w:rPr>
              <w:t>中学高级</w:t>
            </w:r>
          </w:p>
        </w:tc>
        <w:tc>
          <w:tcPr>
            <w:tcW w:w="851" w:type="dxa"/>
            <w:vAlign w:val="center"/>
          </w:tcPr>
          <w:p>
            <w:pPr>
              <w:spacing w:line="340" w:lineRule="exact"/>
              <w:jc w:val="center"/>
              <w:rPr>
                <w:rFonts w:ascii="宋体" w:hAnsi="宋体" w:cs="宋体"/>
                <w:szCs w:val="21"/>
              </w:rPr>
            </w:pPr>
            <w:r>
              <w:rPr>
                <w:rFonts w:hint="eastAsia"/>
                <w:szCs w:val="21"/>
              </w:rPr>
              <w:t>英语</w:t>
            </w:r>
          </w:p>
        </w:tc>
        <w:tc>
          <w:tcPr>
            <w:tcW w:w="567" w:type="dxa"/>
            <w:vAlign w:val="center"/>
          </w:tcPr>
          <w:p>
            <w:pPr>
              <w:spacing w:line="340" w:lineRule="exact"/>
              <w:jc w:val="center"/>
              <w:rPr>
                <w:rFonts w:ascii="宋体" w:hAnsi="宋体" w:cs="宋体"/>
                <w:szCs w:val="21"/>
              </w:rPr>
            </w:pPr>
            <w:r>
              <w:rPr>
                <w:rFonts w:hint="eastAsia" w:ascii="宋体" w:hAnsi="宋体" w:cs="宋体"/>
                <w:szCs w:val="21"/>
              </w:rPr>
              <w:t>5</w:t>
            </w:r>
          </w:p>
        </w:tc>
        <w:tc>
          <w:tcPr>
            <w:tcW w:w="3260" w:type="dxa"/>
          </w:tcPr>
          <w:p>
            <w:pPr>
              <w:adjustRightInd w:val="0"/>
              <w:jc w:val="left"/>
              <w:textAlignment w:val="baseline"/>
              <w:rPr>
                <w:rFonts w:ascii="宋体"/>
              </w:rPr>
            </w:pPr>
            <w:r>
              <w:rPr>
                <w:rFonts w:hint="eastAsia" w:ascii="宋体"/>
              </w:rPr>
              <w:t>武进区优秀教育工作者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340" w:lineRule="exact"/>
              <w:jc w:val="center"/>
              <w:rPr>
                <w:szCs w:val="21"/>
              </w:rPr>
            </w:pPr>
            <w:r>
              <w:rPr>
                <w:rFonts w:hint="eastAsia"/>
                <w:szCs w:val="21"/>
              </w:rPr>
              <w:t>刘  超</w:t>
            </w:r>
          </w:p>
        </w:tc>
        <w:tc>
          <w:tcPr>
            <w:tcW w:w="461" w:type="dxa"/>
            <w:vAlign w:val="center"/>
          </w:tcPr>
          <w:p>
            <w:pPr>
              <w:spacing w:line="340" w:lineRule="exact"/>
              <w:jc w:val="center"/>
              <w:rPr>
                <w:szCs w:val="21"/>
              </w:rPr>
            </w:pPr>
            <w:r>
              <w:rPr>
                <w:rFonts w:hint="eastAsia"/>
                <w:szCs w:val="21"/>
              </w:rPr>
              <w:t>女</w:t>
            </w:r>
          </w:p>
        </w:tc>
        <w:tc>
          <w:tcPr>
            <w:tcW w:w="517" w:type="dxa"/>
            <w:vAlign w:val="center"/>
          </w:tcPr>
          <w:p>
            <w:pPr>
              <w:spacing w:line="340" w:lineRule="exact"/>
              <w:jc w:val="center"/>
              <w:rPr>
                <w:rFonts w:ascii="宋体" w:hAnsi="宋体" w:cs="宋体"/>
                <w:szCs w:val="21"/>
              </w:rPr>
            </w:pPr>
            <w:r>
              <w:rPr>
                <w:rFonts w:hint="eastAsia" w:ascii="宋体" w:hAnsi="宋体" w:cs="宋体"/>
                <w:szCs w:val="21"/>
              </w:rPr>
              <w:t>31</w:t>
            </w:r>
          </w:p>
        </w:tc>
        <w:tc>
          <w:tcPr>
            <w:tcW w:w="933" w:type="dxa"/>
            <w:vAlign w:val="center"/>
          </w:tcPr>
          <w:p>
            <w:pPr>
              <w:spacing w:line="340" w:lineRule="exact"/>
              <w:jc w:val="left"/>
              <w:rPr>
                <w:szCs w:val="21"/>
              </w:rPr>
            </w:pPr>
            <w:r>
              <w:rPr>
                <w:rFonts w:hint="eastAsia"/>
                <w:szCs w:val="21"/>
              </w:rPr>
              <w:t>政教处副主任兼团委</w:t>
            </w:r>
          </w:p>
          <w:p>
            <w:pPr>
              <w:spacing w:line="340" w:lineRule="exact"/>
              <w:jc w:val="left"/>
              <w:rPr>
                <w:szCs w:val="21"/>
              </w:rPr>
            </w:pPr>
            <w:r>
              <w:rPr>
                <w:rFonts w:hint="eastAsia"/>
                <w:szCs w:val="21"/>
              </w:rPr>
              <w:t>书记</w:t>
            </w:r>
          </w:p>
        </w:tc>
        <w:tc>
          <w:tcPr>
            <w:tcW w:w="710" w:type="dxa"/>
            <w:vAlign w:val="center"/>
          </w:tcPr>
          <w:p>
            <w:pPr>
              <w:spacing w:line="340" w:lineRule="exact"/>
              <w:jc w:val="center"/>
              <w:rPr>
                <w:szCs w:val="21"/>
              </w:rPr>
            </w:pPr>
            <w:r>
              <w:rPr>
                <w:rFonts w:hint="eastAsia"/>
                <w:szCs w:val="21"/>
              </w:rPr>
              <w:t>本科</w:t>
            </w:r>
          </w:p>
        </w:tc>
        <w:tc>
          <w:tcPr>
            <w:tcW w:w="739" w:type="dxa"/>
            <w:vAlign w:val="center"/>
          </w:tcPr>
          <w:p>
            <w:pPr>
              <w:spacing w:line="340" w:lineRule="exact"/>
              <w:jc w:val="center"/>
              <w:rPr>
                <w:szCs w:val="21"/>
              </w:rPr>
            </w:pPr>
            <w:r>
              <w:rPr>
                <w:rFonts w:hint="eastAsia"/>
                <w:szCs w:val="21"/>
              </w:rPr>
              <w:t>美术</w:t>
            </w:r>
          </w:p>
        </w:tc>
        <w:tc>
          <w:tcPr>
            <w:tcW w:w="720" w:type="dxa"/>
            <w:vAlign w:val="center"/>
          </w:tcPr>
          <w:p>
            <w:pPr>
              <w:spacing w:line="340" w:lineRule="exact"/>
              <w:jc w:val="center"/>
              <w:rPr>
                <w:szCs w:val="21"/>
              </w:rPr>
            </w:pPr>
            <w:r>
              <w:rPr>
                <w:rFonts w:hint="eastAsia"/>
                <w:szCs w:val="21"/>
              </w:rPr>
              <w:t>中学二级</w:t>
            </w:r>
          </w:p>
        </w:tc>
        <w:tc>
          <w:tcPr>
            <w:tcW w:w="851" w:type="dxa"/>
            <w:vAlign w:val="center"/>
          </w:tcPr>
          <w:p>
            <w:pPr>
              <w:spacing w:line="340" w:lineRule="exact"/>
              <w:jc w:val="center"/>
              <w:rPr>
                <w:szCs w:val="21"/>
              </w:rPr>
            </w:pPr>
            <w:r>
              <w:rPr>
                <w:rFonts w:hint="eastAsia"/>
                <w:szCs w:val="21"/>
              </w:rPr>
              <w:t>美术</w:t>
            </w:r>
          </w:p>
        </w:tc>
        <w:tc>
          <w:tcPr>
            <w:tcW w:w="567" w:type="dxa"/>
            <w:vAlign w:val="center"/>
          </w:tcPr>
          <w:p>
            <w:pPr>
              <w:spacing w:line="340" w:lineRule="exact"/>
              <w:jc w:val="center"/>
              <w:rPr>
                <w:rFonts w:ascii="宋体" w:hAnsi="宋体" w:cs="宋体"/>
                <w:szCs w:val="21"/>
              </w:rPr>
            </w:pPr>
            <w:r>
              <w:rPr>
                <w:rFonts w:hint="eastAsia" w:ascii="宋体" w:hAnsi="宋体" w:cs="宋体"/>
                <w:szCs w:val="21"/>
              </w:rPr>
              <w:t>10</w:t>
            </w:r>
          </w:p>
        </w:tc>
        <w:tc>
          <w:tcPr>
            <w:tcW w:w="3260" w:type="dxa"/>
          </w:tcPr>
          <w:p>
            <w:pPr>
              <w:adjustRightInd w:val="0"/>
              <w:jc w:val="left"/>
              <w:textAlignment w:val="baseline"/>
              <w:rPr>
                <w:rFonts w:ascii="宋体"/>
              </w:rPr>
            </w:pPr>
            <w:r>
              <w:rPr>
                <w:rFonts w:hint="eastAsia" w:ascii="宋体"/>
              </w:rPr>
              <w:t>常州市教坛新秀、武进区政府嘉奖、常州市教育系统优秀共青团干部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340" w:lineRule="exact"/>
              <w:jc w:val="center"/>
              <w:rPr>
                <w:szCs w:val="21"/>
              </w:rPr>
            </w:pPr>
            <w:r>
              <w:rPr>
                <w:rFonts w:hint="eastAsia"/>
                <w:szCs w:val="21"/>
              </w:rPr>
              <w:t>冯凯</w:t>
            </w:r>
          </w:p>
        </w:tc>
        <w:tc>
          <w:tcPr>
            <w:tcW w:w="461" w:type="dxa"/>
            <w:vAlign w:val="center"/>
          </w:tcPr>
          <w:p>
            <w:pPr>
              <w:spacing w:line="340" w:lineRule="exact"/>
              <w:jc w:val="center"/>
              <w:rPr>
                <w:szCs w:val="21"/>
              </w:rPr>
            </w:pPr>
            <w:r>
              <w:rPr>
                <w:rFonts w:hint="eastAsia"/>
                <w:szCs w:val="21"/>
              </w:rPr>
              <w:t>男</w:t>
            </w:r>
          </w:p>
        </w:tc>
        <w:tc>
          <w:tcPr>
            <w:tcW w:w="517" w:type="dxa"/>
            <w:vAlign w:val="center"/>
          </w:tcPr>
          <w:p>
            <w:pPr>
              <w:spacing w:line="340" w:lineRule="exact"/>
              <w:jc w:val="center"/>
              <w:rPr>
                <w:rFonts w:ascii="宋体" w:hAnsi="宋体" w:cs="宋体"/>
                <w:szCs w:val="21"/>
              </w:rPr>
            </w:pPr>
            <w:r>
              <w:rPr>
                <w:rFonts w:hint="eastAsia" w:ascii="宋体" w:hAnsi="宋体" w:cs="宋体"/>
                <w:szCs w:val="21"/>
              </w:rPr>
              <w:t>39</w:t>
            </w:r>
          </w:p>
        </w:tc>
        <w:tc>
          <w:tcPr>
            <w:tcW w:w="933" w:type="dxa"/>
            <w:vAlign w:val="center"/>
          </w:tcPr>
          <w:p>
            <w:pPr>
              <w:spacing w:line="340" w:lineRule="exact"/>
              <w:jc w:val="left"/>
              <w:rPr>
                <w:szCs w:val="21"/>
              </w:rPr>
            </w:pPr>
            <w:r>
              <w:rPr>
                <w:rFonts w:hint="eastAsia"/>
                <w:szCs w:val="21"/>
              </w:rPr>
              <w:t>政教处</w:t>
            </w:r>
          </w:p>
          <w:p>
            <w:pPr>
              <w:spacing w:line="340" w:lineRule="exact"/>
              <w:jc w:val="left"/>
              <w:rPr>
                <w:rFonts w:ascii="宋体"/>
                <w:szCs w:val="21"/>
              </w:rPr>
            </w:pPr>
            <w:r>
              <w:rPr>
                <w:rFonts w:hint="eastAsia"/>
                <w:szCs w:val="21"/>
              </w:rPr>
              <w:t>副主任</w:t>
            </w:r>
          </w:p>
        </w:tc>
        <w:tc>
          <w:tcPr>
            <w:tcW w:w="710" w:type="dxa"/>
            <w:vAlign w:val="center"/>
          </w:tcPr>
          <w:p>
            <w:pPr>
              <w:spacing w:line="340" w:lineRule="exact"/>
              <w:jc w:val="center"/>
              <w:rPr>
                <w:rFonts w:ascii="宋体"/>
                <w:szCs w:val="21"/>
              </w:rPr>
            </w:pPr>
            <w:r>
              <w:rPr>
                <w:rFonts w:hint="eastAsia" w:ascii="宋体"/>
                <w:szCs w:val="21"/>
              </w:rPr>
              <w:t>本科</w:t>
            </w:r>
          </w:p>
        </w:tc>
        <w:tc>
          <w:tcPr>
            <w:tcW w:w="739" w:type="dxa"/>
            <w:vAlign w:val="center"/>
          </w:tcPr>
          <w:p>
            <w:pPr>
              <w:spacing w:line="340" w:lineRule="exact"/>
              <w:jc w:val="center"/>
              <w:rPr>
                <w:rFonts w:ascii="宋体" w:hAnsi="宋体" w:cs="宋体"/>
                <w:szCs w:val="21"/>
              </w:rPr>
            </w:pPr>
            <w:r>
              <w:rPr>
                <w:rFonts w:hint="eastAsia" w:ascii="宋体" w:hAnsi="宋体" w:cs="宋体"/>
                <w:szCs w:val="21"/>
              </w:rPr>
              <w:t>中文</w:t>
            </w:r>
          </w:p>
        </w:tc>
        <w:tc>
          <w:tcPr>
            <w:tcW w:w="720" w:type="dxa"/>
            <w:vAlign w:val="center"/>
          </w:tcPr>
          <w:p>
            <w:pPr>
              <w:spacing w:line="340" w:lineRule="exact"/>
              <w:jc w:val="center"/>
              <w:rPr>
                <w:szCs w:val="21"/>
              </w:rPr>
            </w:pPr>
            <w:r>
              <w:rPr>
                <w:rFonts w:hint="eastAsia"/>
                <w:szCs w:val="21"/>
              </w:rPr>
              <w:t>中学一级</w:t>
            </w:r>
          </w:p>
        </w:tc>
        <w:tc>
          <w:tcPr>
            <w:tcW w:w="851" w:type="dxa"/>
            <w:vAlign w:val="center"/>
          </w:tcPr>
          <w:p>
            <w:pPr>
              <w:spacing w:line="340" w:lineRule="exact"/>
              <w:jc w:val="center"/>
              <w:rPr>
                <w:rFonts w:ascii="宋体"/>
                <w:szCs w:val="21"/>
              </w:rPr>
            </w:pPr>
            <w:r>
              <w:rPr>
                <w:rFonts w:hint="eastAsia" w:ascii="宋体"/>
                <w:szCs w:val="21"/>
              </w:rPr>
              <w:t>语文</w:t>
            </w:r>
          </w:p>
        </w:tc>
        <w:tc>
          <w:tcPr>
            <w:tcW w:w="567" w:type="dxa"/>
            <w:vAlign w:val="center"/>
          </w:tcPr>
          <w:p>
            <w:pPr>
              <w:spacing w:line="340" w:lineRule="exact"/>
              <w:jc w:val="center"/>
              <w:rPr>
                <w:rFonts w:ascii="宋体" w:hAnsi="宋体" w:cs="宋体"/>
                <w:szCs w:val="21"/>
              </w:rPr>
            </w:pPr>
            <w:r>
              <w:rPr>
                <w:rFonts w:hint="eastAsia" w:ascii="宋体" w:hAnsi="宋体" w:cs="宋体"/>
                <w:szCs w:val="21"/>
              </w:rPr>
              <w:t>10</w:t>
            </w:r>
          </w:p>
        </w:tc>
        <w:tc>
          <w:tcPr>
            <w:tcW w:w="3260" w:type="dxa"/>
          </w:tcPr>
          <w:p>
            <w:pPr>
              <w:adjustRightInd w:val="0"/>
              <w:ind w:right="-152"/>
              <w:jc w:val="left"/>
              <w:textAlignment w:val="baseline"/>
              <w:rPr>
                <w:rFonts w:ascii="宋体"/>
              </w:rPr>
            </w:pPr>
            <w:r>
              <w:rPr>
                <w:rFonts w:hint="eastAsia" w:ascii="宋体"/>
              </w:rPr>
              <w:t>常州市优秀班主任、</w:t>
            </w:r>
          </w:p>
          <w:p>
            <w:pPr>
              <w:adjustRightInd w:val="0"/>
              <w:ind w:right="-152"/>
              <w:jc w:val="left"/>
              <w:textAlignment w:val="baseline"/>
              <w:rPr>
                <w:rFonts w:ascii="宋体"/>
              </w:rPr>
            </w:pPr>
            <w:r>
              <w:rPr>
                <w:rFonts w:hint="eastAsia" w:ascii="宋体"/>
              </w:rPr>
              <w:t>武进区政府嘉奖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340" w:lineRule="exact"/>
              <w:jc w:val="center"/>
              <w:rPr>
                <w:rFonts w:ascii="宋体" w:hAnsi="宋体" w:cs="宋体"/>
                <w:szCs w:val="21"/>
              </w:rPr>
            </w:pPr>
            <w:r>
              <w:rPr>
                <w:rFonts w:hint="eastAsia"/>
                <w:szCs w:val="21"/>
              </w:rPr>
              <w:t>张敏燕</w:t>
            </w:r>
          </w:p>
        </w:tc>
        <w:tc>
          <w:tcPr>
            <w:tcW w:w="461" w:type="dxa"/>
            <w:vAlign w:val="center"/>
          </w:tcPr>
          <w:p>
            <w:pPr>
              <w:spacing w:line="340" w:lineRule="exact"/>
              <w:jc w:val="center"/>
              <w:rPr>
                <w:rFonts w:ascii="宋体" w:hAnsi="宋体" w:cs="宋体"/>
                <w:szCs w:val="21"/>
              </w:rPr>
            </w:pPr>
            <w:r>
              <w:rPr>
                <w:rFonts w:hint="eastAsia"/>
                <w:szCs w:val="21"/>
              </w:rPr>
              <w:t>女</w:t>
            </w:r>
          </w:p>
        </w:tc>
        <w:tc>
          <w:tcPr>
            <w:tcW w:w="517" w:type="dxa"/>
            <w:vAlign w:val="center"/>
          </w:tcPr>
          <w:p>
            <w:pPr>
              <w:spacing w:line="340" w:lineRule="exact"/>
              <w:jc w:val="center"/>
              <w:rPr>
                <w:rFonts w:ascii="宋体" w:hAnsi="宋体" w:cs="宋体"/>
                <w:szCs w:val="21"/>
              </w:rPr>
            </w:pPr>
            <w:r>
              <w:rPr>
                <w:rFonts w:hint="eastAsia" w:ascii="宋体" w:hAnsi="宋体" w:cs="宋体"/>
                <w:szCs w:val="21"/>
              </w:rPr>
              <w:t>46</w:t>
            </w:r>
          </w:p>
        </w:tc>
        <w:tc>
          <w:tcPr>
            <w:tcW w:w="933" w:type="dxa"/>
            <w:vAlign w:val="center"/>
          </w:tcPr>
          <w:p>
            <w:pPr>
              <w:spacing w:line="340" w:lineRule="exact"/>
              <w:jc w:val="left"/>
              <w:rPr>
                <w:szCs w:val="21"/>
              </w:rPr>
            </w:pPr>
            <w:r>
              <w:rPr>
                <w:rFonts w:hint="eastAsia"/>
                <w:szCs w:val="21"/>
              </w:rPr>
              <w:t>教研处主任</w:t>
            </w:r>
          </w:p>
        </w:tc>
        <w:tc>
          <w:tcPr>
            <w:tcW w:w="710" w:type="dxa"/>
            <w:vAlign w:val="center"/>
          </w:tcPr>
          <w:p>
            <w:pPr>
              <w:spacing w:line="340" w:lineRule="exact"/>
              <w:jc w:val="center"/>
              <w:rPr>
                <w:rFonts w:ascii="宋体" w:hAnsi="宋体" w:cs="宋体"/>
                <w:szCs w:val="21"/>
              </w:rPr>
            </w:pPr>
            <w:r>
              <w:rPr>
                <w:rFonts w:hint="eastAsia"/>
                <w:szCs w:val="21"/>
              </w:rPr>
              <w:t>本科</w:t>
            </w:r>
          </w:p>
        </w:tc>
        <w:tc>
          <w:tcPr>
            <w:tcW w:w="739" w:type="dxa"/>
            <w:vAlign w:val="center"/>
          </w:tcPr>
          <w:p>
            <w:pPr>
              <w:spacing w:line="340" w:lineRule="exact"/>
              <w:jc w:val="center"/>
              <w:rPr>
                <w:rFonts w:ascii="宋体" w:hAnsi="宋体" w:cs="宋体"/>
                <w:szCs w:val="21"/>
              </w:rPr>
            </w:pPr>
            <w:r>
              <w:rPr>
                <w:rFonts w:hint="eastAsia" w:ascii="宋体" w:hAnsi="宋体" w:cs="宋体"/>
                <w:szCs w:val="21"/>
              </w:rPr>
              <w:t>英语</w:t>
            </w:r>
          </w:p>
        </w:tc>
        <w:tc>
          <w:tcPr>
            <w:tcW w:w="720" w:type="dxa"/>
            <w:vAlign w:val="center"/>
          </w:tcPr>
          <w:p>
            <w:pPr>
              <w:spacing w:line="340" w:lineRule="exact"/>
              <w:jc w:val="center"/>
              <w:rPr>
                <w:rFonts w:ascii="宋体" w:hAnsi="宋体" w:cs="宋体"/>
                <w:szCs w:val="21"/>
              </w:rPr>
            </w:pPr>
            <w:r>
              <w:rPr>
                <w:rFonts w:hint="eastAsia"/>
                <w:szCs w:val="21"/>
              </w:rPr>
              <w:t>中学高级</w:t>
            </w:r>
          </w:p>
        </w:tc>
        <w:tc>
          <w:tcPr>
            <w:tcW w:w="851" w:type="dxa"/>
            <w:vAlign w:val="center"/>
          </w:tcPr>
          <w:p>
            <w:pPr>
              <w:spacing w:line="340" w:lineRule="exact"/>
              <w:jc w:val="center"/>
              <w:rPr>
                <w:rFonts w:ascii="宋体" w:hAnsi="宋体" w:cs="宋体"/>
                <w:szCs w:val="21"/>
              </w:rPr>
            </w:pPr>
            <w:r>
              <w:rPr>
                <w:rFonts w:hint="eastAsia"/>
                <w:szCs w:val="21"/>
              </w:rPr>
              <w:t>英语</w:t>
            </w:r>
          </w:p>
        </w:tc>
        <w:tc>
          <w:tcPr>
            <w:tcW w:w="567" w:type="dxa"/>
            <w:vAlign w:val="center"/>
          </w:tcPr>
          <w:p>
            <w:pPr>
              <w:spacing w:line="340" w:lineRule="exact"/>
              <w:jc w:val="center"/>
              <w:rPr>
                <w:rFonts w:ascii="宋体" w:hAnsi="宋体" w:cs="宋体"/>
                <w:szCs w:val="21"/>
              </w:rPr>
            </w:pPr>
            <w:r>
              <w:rPr>
                <w:rFonts w:hint="eastAsia" w:ascii="宋体" w:hAnsi="宋体" w:cs="宋体"/>
                <w:szCs w:val="21"/>
              </w:rPr>
              <w:t>6</w:t>
            </w:r>
          </w:p>
        </w:tc>
        <w:tc>
          <w:tcPr>
            <w:tcW w:w="3260" w:type="dxa"/>
            <w:vAlign w:val="center"/>
          </w:tcPr>
          <w:p>
            <w:pPr>
              <w:spacing w:line="340" w:lineRule="exact"/>
              <w:jc w:val="left"/>
              <w:rPr>
                <w:rFonts w:ascii="宋体"/>
                <w:szCs w:val="21"/>
              </w:rPr>
            </w:pPr>
            <w:r>
              <w:rPr>
                <w:rFonts w:hint="eastAsia" w:ascii="宋体"/>
                <w:szCs w:val="21"/>
              </w:rPr>
              <w:t>常州市优秀教育工作者、常州市德育先进工作者、武进区政府嘉奖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340" w:lineRule="exact"/>
              <w:jc w:val="center"/>
              <w:rPr>
                <w:rFonts w:ascii="宋体" w:hAnsi="宋体" w:cs="宋体"/>
                <w:szCs w:val="21"/>
              </w:rPr>
            </w:pPr>
            <w:r>
              <w:rPr>
                <w:rFonts w:hint="eastAsia"/>
                <w:szCs w:val="21"/>
              </w:rPr>
              <w:t>王宏亮</w:t>
            </w:r>
          </w:p>
        </w:tc>
        <w:tc>
          <w:tcPr>
            <w:tcW w:w="461" w:type="dxa"/>
            <w:vAlign w:val="center"/>
          </w:tcPr>
          <w:p>
            <w:pPr>
              <w:spacing w:line="340" w:lineRule="exact"/>
              <w:jc w:val="center"/>
              <w:rPr>
                <w:rFonts w:ascii="宋体" w:hAnsi="宋体" w:cs="宋体"/>
                <w:szCs w:val="21"/>
              </w:rPr>
            </w:pPr>
            <w:r>
              <w:rPr>
                <w:rFonts w:hint="eastAsia"/>
                <w:szCs w:val="21"/>
              </w:rPr>
              <w:t>男</w:t>
            </w:r>
          </w:p>
        </w:tc>
        <w:tc>
          <w:tcPr>
            <w:tcW w:w="517" w:type="dxa"/>
            <w:vAlign w:val="center"/>
          </w:tcPr>
          <w:p>
            <w:pPr>
              <w:spacing w:line="340" w:lineRule="exact"/>
              <w:jc w:val="center"/>
              <w:rPr>
                <w:rFonts w:ascii="宋体" w:hAnsi="宋体" w:cs="宋体"/>
                <w:szCs w:val="21"/>
              </w:rPr>
            </w:pPr>
            <w:r>
              <w:rPr>
                <w:rFonts w:hint="eastAsia" w:ascii="宋体" w:hAnsi="宋体" w:cs="宋体"/>
                <w:szCs w:val="21"/>
              </w:rPr>
              <w:t>37</w:t>
            </w:r>
          </w:p>
        </w:tc>
        <w:tc>
          <w:tcPr>
            <w:tcW w:w="933" w:type="dxa"/>
            <w:vAlign w:val="center"/>
          </w:tcPr>
          <w:p>
            <w:pPr>
              <w:spacing w:line="340" w:lineRule="exact"/>
              <w:jc w:val="left"/>
              <w:rPr>
                <w:szCs w:val="21"/>
              </w:rPr>
            </w:pPr>
            <w:r>
              <w:rPr>
                <w:rFonts w:hint="eastAsia"/>
                <w:szCs w:val="21"/>
              </w:rPr>
              <w:t>教研处</w:t>
            </w:r>
          </w:p>
          <w:p>
            <w:pPr>
              <w:spacing w:line="340" w:lineRule="exact"/>
              <w:jc w:val="left"/>
              <w:rPr>
                <w:rFonts w:ascii="宋体" w:hAnsi="宋体" w:cs="宋体"/>
                <w:szCs w:val="21"/>
              </w:rPr>
            </w:pPr>
            <w:r>
              <w:rPr>
                <w:rFonts w:hint="eastAsia"/>
                <w:szCs w:val="21"/>
              </w:rPr>
              <w:t>副主任</w:t>
            </w:r>
          </w:p>
        </w:tc>
        <w:tc>
          <w:tcPr>
            <w:tcW w:w="710" w:type="dxa"/>
            <w:vAlign w:val="center"/>
          </w:tcPr>
          <w:p>
            <w:pPr>
              <w:spacing w:line="340" w:lineRule="exact"/>
              <w:jc w:val="center"/>
              <w:rPr>
                <w:rFonts w:ascii="宋体" w:hAnsi="宋体" w:cs="宋体"/>
                <w:szCs w:val="21"/>
              </w:rPr>
            </w:pPr>
            <w:r>
              <w:rPr>
                <w:rFonts w:hint="eastAsia"/>
                <w:szCs w:val="21"/>
              </w:rPr>
              <w:t>本科</w:t>
            </w:r>
          </w:p>
        </w:tc>
        <w:tc>
          <w:tcPr>
            <w:tcW w:w="739" w:type="dxa"/>
            <w:vAlign w:val="center"/>
          </w:tcPr>
          <w:p>
            <w:pPr>
              <w:spacing w:line="340" w:lineRule="exact"/>
              <w:jc w:val="center"/>
              <w:rPr>
                <w:rFonts w:ascii="宋体" w:hAnsi="宋体" w:cs="宋体"/>
                <w:szCs w:val="21"/>
              </w:rPr>
            </w:pPr>
            <w:r>
              <w:rPr>
                <w:rFonts w:hint="eastAsia" w:ascii="宋体" w:hAnsi="宋体" w:cs="宋体"/>
                <w:szCs w:val="21"/>
              </w:rPr>
              <w:t>数学</w:t>
            </w:r>
          </w:p>
        </w:tc>
        <w:tc>
          <w:tcPr>
            <w:tcW w:w="720" w:type="dxa"/>
            <w:vAlign w:val="center"/>
          </w:tcPr>
          <w:p>
            <w:pPr>
              <w:spacing w:line="340" w:lineRule="exact"/>
              <w:jc w:val="center"/>
              <w:rPr>
                <w:rFonts w:ascii="宋体" w:hAnsi="宋体" w:cs="宋体"/>
                <w:szCs w:val="21"/>
              </w:rPr>
            </w:pPr>
            <w:r>
              <w:rPr>
                <w:rFonts w:hint="eastAsia"/>
                <w:szCs w:val="21"/>
              </w:rPr>
              <w:t>中学一级</w:t>
            </w:r>
          </w:p>
        </w:tc>
        <w:tc>
          <w:tcPr>
            <w:tcW w:w="851" w:type="dxa"/>
            <w:vAlign w:val="center"/>
          </w:tcPr>
          <w:p>
            <w:pPr>
              <w:spacing w:line="340" w:lineRule="exact"/>
              <w:jc w:val="center"/>
              <w:rPr>
                <w:rFonts w:ascii="宋体" w:hAnsi="宋体" w:cs="宋体"/>
                <w:szCs w:val="21"/>
              </w:rPr>
            </w:pPr>
            <w:r>
              <w:rPr>
                <w:rFonts w:hint="eastAsia"/>
                <w:szCs w:val="21"/>
              </w:rPr>
              <w:t>数学</w:t>
            </w:r>
          </w:p>
        </w:tc>
        <w:tc>
          <w:tcPr>
            <w:tcW w:w="567" w:type="dxa"/>
            <w:vAlign w:val="center"/>
          </w:tcPr>
          <w:p>
            <w:pPr>
              <w:spacing w:line="340" w:lineRule="exact"/>
              <w:jc w:val="center"/>
              <w:rPr>
                <w:rFonts w:ascii="宋体" w:hAnsi="宋体" w:cs="宋体"/>
                <w:szCs w:val="21"/>
              </w:rPr>
            </w:pPr>
            <w:r>
              <w:rPr>
                <w:rFonts w:hint="eastAsia" w:ascii="宋体" w:hAnsi="宋体" w:cs="宋体"/>
                <w:szCs w:val="21"/>
              </w:rPr>
              <w:t>10</w:t>
            </w:r>
          </w:p>
        </w:tc>
        <w:tc>
          <w:tcPr>
            <w:tcW w:w="3260" w:type="dxa"/>
            <w:vAlign w:val="center"/>
          </w:tcPr>
          <w:p>
            <w:pPr>
              <w:spacing w:line="340" w:lineRule="exact"/>
              <w:jc w:val="left"/>
              <w:rPr>
                <w:rFonts w:ascii="宋体"/>
                <w:szCs w:val="21"/>
              </w:rPr>
            </w:pPr>
            <w:r>
              <w:rPr>
                <w:rFonts w:hint="eastAsia" w:ascii="宋体"/>
                <w:szCs w:val="21"/>
              </w:rPr>
              <w:t>武进区政府嘉奖、</w:t>
            </w:r>
          </w:p>
          <w:p>
            <w:pPr>
              <w:spacing w:line="340" w:lineRule="exact"/>
              <w:jc w:val="left"/>
              <w:rPr>
                <w:rFonts w:ascii="宋体"/>
                <w:szCs w:val="21"/>
              </w:rPr>
            </w:pPr>
            <w:r>
              <w:rPr>
                <w:rFonts w:hint="eastAsia" w:ascii="宋体"/>
                <w:szCs w:val="21"/>
              </w:rPr>
              <w:t>年度考核区级优秀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340" w:lineRule="exact"/>
              <w:jc w:val="center"/>
              <w:rPr>
                <w:szCs w:val="21"/>
              </w:rPr>
            </w:pPr>
            <w:r>
              <w:rPr>
                <w:rFonts w:hint="eastAsia"/>
                <w:szCs w:val="21"/>
              </w:rPr>
              <w:t>周源泉</w:t>
            </w:r>
          </w:p>
        </w:tc>
        <w:tc>
          <w:tcPr>
            <w:tcW w:w="461" w:type="dxa"/>
            <w:vAlign w:val="center"/>
          </w:tcPr>
          <w:p>
            <w:pPr>
              <w:spacing w:line="340" w:lineRule="exact"/>
              <w:jc w:val="center"/>
              <w:rPr>
                <w:szCs w:val="21"/>
              </w:rPr>
            </w:pPr>
            <w:r>
              <w:rPr>
                <w:rFonts w:hint="eastAsia"/>
                <w:szCs w:val="21"/>
              </w:rPr>
              <w:t>男</w:t>
            </w:r>
          </w:p>
        </w:tc>
        <w:tc>
          <w:tcPr>
            <w:tcW w:w="517" w:type="dxa"/>
            <w:vAlign w:val="center"/>
          </w:tcPr>
          <w:p>
            <w:pPr>
              <w:spacing w:line="340" w:lineRule="exact"/>
              <w:jc w:val="center"/>
              <w:rPr>
                <w:rFonts w:ascii="宋体" w:hAnsi="宋体" w:cs="宋体"/>
                <w:szCs w:val="21"/>
              </w:rPr>
            </w:pPr>
            <w:r>
              <w:rPr>
                <w:rFonts w:hint="eastAsia" w:ascii="宋体" w:hAnsi="宋体" w:cs="宋体"/>
                <w:szCs w:val="21"/>
              </w:rPr>
              <w:t>36</w:t>
            </w:r>
          </w:p>
        </w:tc>
        <w:tc>
          <w:tcPr>
            <w:tcW w:w="933" w:type="dxa"/>
            <w:vAlign w:val="center"/>
          </w:tcPr>
          <w:p>
            <w:pPr>
              <w:spacing w:line="340" w:lineRule="exact"/>
              <w:jc w:val="left"/>
              <w:rPr>
                <w:szCs w:val="21"/>
              </w:rPr>
            </w:pPr>
            <w:r>
              <w:rPr>
                <w:rFonts w:hint="eastAsia"/>
                <w:szCs w:val="21"/>
              </w:rPr>
              <w:t>教研处副主任</w:t>
            </w:r>
          </w:p>
        </w:tc>
        <w:tc>
          <w:tcPr>
            <w:tcW w:w="710" w:type="dxa"/>
            <w:vAlign w:val="center"/>
          </w:tcPr>
          <w:p>
            <w:pPr>
              <w:spacing w:line="340" w:lineRule="exact"/>
              <w:jc w:val="center"/>
              <w:rPr>
                <w:szCs w:val="21"/>
              </w:rPr>
            </w:pPr>
            <w:r>
              <w:rPr>
                <w:rFonts w:hint="eastAsia"/>
                <w:szCs w:val="21"/>
              </w:rPr>
              <w:t>本科</w:t>
            </w:r>
          </w:p>
        </w:tc>
        <w:tc>
          <w:tcPr>
            <w:tcW w:w="739" w:type="dxa"/>
            <w:vAlign w:val="center"/>
          </w:tcPr>
          <w:p>
            <w:pPr>
              <w:spacing w:line="340" w:lineRule="exact"/>
              <w:jc w:val="center"/>
              <w:rPr>
                <w:rFonts w:ascii="宋体" w:hAnsi="宋体" w:cs="宋体"/>
                <w:szCs w:val="21"/>
              </w:rPr>
            </w:pPr>
            <w:r>
              <w:rPr>
                <w:rFonts w:hint="eastAsia" w:ascii="宋体" w:hAnsi="宋体" w:cs="宋体"/>
                <w:szCs w:val="21"/>
              </w:rPr>
              <w:t>生物</w:t>
            </w:r>
          </w:p>
        </w:tc>
        <w:tc>
          <w:tcPr>
            <w:tcW w:w="720" w:type="dxa"/>
            <w:vAlign w:val="center"/>
          </w:tcPr>
          <w:p>
            <w:pPr>
              <w:spacing w:line="340" w:lineRule="exact"/>
              <w:jc w:val="center"/>
              <w:rPr>
                <w:szCs w:val="21"/>
              </w:rPr>
            </w:pPr>
            <w:r>
              <w:rPr>
                <w:rFonts w:hint="eastAsia"/>
                <w:szCs w:val="21"/>
              </w:rPr>
              <w:t>中学一级</w:t>
            </w:r>
          </w:p>
        </w:tc>
        <w:tc>
          <w:tcPr>
            <w:tcW w:w="851" w:type="dxa"/>
            <w:vAlign w:val="center"/>
          </w:tcPr>
          <w:p>
            <w:pPr>
              <w:spacing w:line="340" w:lineRule="exact"/>
              <w:jc w:val="center"/>
              <w:rPr>
                <w:szCs w:val="21"/>
              </w:rPr>
            </w:pPr>
            <w:r>
              <w:rPr>
                <w:rFonts w:hint="eastAsia"/>
                <w:szCs w:val="21"/>
              </w:rPr>
              <w:t>生物</w:t>
            </w:r>
          </w:p>
        </w:tc>
        <w:tc>
          <w:tcPr>
            <w:tcW w:w="567" w:type="dxa"/>
            <w:vAlign w:val="center"/>
          </w:tcPr>
          <w:p>
            <w:pPr>
              <w:spacing w:line="340" w:lineRule="exact"/>
              <w:jc w:val="center"/>
              <w:rPr>
                <w:rFonts w:ascii="宋体" w:hAnsi="宋体" w:cs="宋体"/>
                <w:szCs w:val="21"/>
              </w:rPr>
            </w:pPr>
            <w:r>
              <w:rPr>
                <w:rFonts w:hint="eastAsia" w:ascii="宋体" w:hAnsi="宋体" w:cs="宋体"/>
                <w:szCs w:val="21"/>
              </w:rPr>
              <w:t>10</w:t>
            </w:r>
          </w:p>
        </w:tc>
        <w:tc>
          <w:tcPr>
            <w:tcW w:w="3260" w:type="dxa"/>
            <w:vAlign w:val="center"/>
          </w:tcPr>
          <w:p>
            <w:pPr>
              <w:spacing w:line="340" w:lineRule="exact"/>
              <w:jc w:val="left"/>
              <w:rPr>
                <w:rFonts w:ascii="宋体"/>
                <w:szCs w:val="21"/>
              </w:rPr>
            </w:pPr>
            <w:r>
              <w:rPr>
                <w:rFonts w:hint="eastAsia" w:ascii="宋体"/>
                <w:szCs w:val="21"/>
              </w:rPr>
              <w:t>武进区政府嘉奖、</w:t>
            </w:r>
          </w:p>
          <w:p>
            <w:pPr>
              <w:spacing w:line="340" w:lineRule="exact"/>
              <w:jc w:val="left"/>
              <w:rPr>
                <w:rFonts w:ascii="宋体"/>
                <w:szCs w:val="21"/>
              </w:rPr>
            </w:pPr>
            <w:r>
              <w:rPr>
                <w:rFonts w:hint="eastAsia" w:ascii="宋体"/>
                <w:szCs w:val="21"/>
              </w:rPr>
              <w:t>年度考核区级优秀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340" w:lineRule="exact"/>
              <w:jc w:val="center"/>
              <w:rPr>
                <w:szCs w:val="21"/>
              </w:rPr>
            </w:pPr>
            <w:r>
              <w:rPr>
                <w:rFonts w:hint="eastAsia"/>
                <w:szCs w:val="21"/>
              </w:rPr>
              <w:t>王联峰</w:t>
            </w:r>
          </w:p>
        </w:tc>
        <w:tc>
          <w:tcPr>
            <w:tcW w:w="461" w:type="dxa"/>
            <w:vAlign w:val="center"/>
          </w:tcPr>
          <w:p>
            <w:pPr>
              <w:spacing w:line="340" w:lineRule="exact"/>
              <w:jc w:val="center"/>
              <w:rPr>
                <w:szCs w:val="21"/>
              </w:rPr>
            </w:pPr>
            <w:r>
              <w:rPr>
                <w:rFonts w:hint="eastAsia"/>
                <w:szCs w:val="21"/>
              </w:rPr>
              <w:t>男</w:t>
            </w:r>
          </w:p>
        </w:tc>
        <w:tc>
          <w:tcPr>
            <w:tcW w:w="517" w:type="dxa"/>
            <w:vAlign w:val="center"/>
          </w:tcPr>
          <w:p>
            <w:pPr>
              <w:spacing w:line="340" w:lineRule="exact"/>
              <w:jc w:val="center"/>
              <w:rPr>
                <w:rFonts w:ascii="宋体" w:hAnsi="宋体" w:cs="宋体"/>
                <w:szCs w:val="21"/>
              </w:rPr>
            </w:pPr>
            <w:r>
              <w:rPr>
                <w:rFonts w:hint="eastAsia" w:ascii="宋体" w:hAnsi="宋体" w:cs="宋体"/>
                <w:szCs w:val="21"/>
              </w:rPr>
              <w:t>35</w:t>
            </w:r>
          </w:p>
        </w:tc>
        <w:tc>
          <w:tcPr>
            <w:tcW w:w="933" w:type="dxa"/>
            <w:vAlign w:val="center"/>
          </w:tcPr>
          <w:p>
            <w:pPr>
              <w:spacing w:line="340" w:lineRule="exact"/>
              <w:jc w:val="left"/>
              <w:rPr>
                <w:szCs w:val="21"/>
              </w:rPr>
            </w:pPr>
            <w:r>
              <w:rPr>
                <w:rFonts w:hint="eastAsia"/>
                <w:szCs w:val="21"/>
              </w:rPr>
              <w:t>教研处副主任</w:t>
            </w:r>
          </w:p>
        </w:tc>
        <w:tc>
          <w:tcPr>
            <w:tcW w:w="710" w:type="dxa"/>
            <w:vAlign w:val="center"/>
          </w:tcPr>
          <w:p>
            <w:pPr>
              <w:spacing w:line="340" w:lineRule="exact"/>
              <w:jc w:val="center"/>
              <w:rPr>
                <w:szCs w:val="21"/>
              </w:rPr>
            </w:pPr>
            <w:r>
              <w:rPr>
                <w:rFonts w:hint="eastAsia"/>
                <w:szCs w:val="21"/>
              </w:rPr>
              <w:t>本科</w:t>
            </w:r>
          </w:p>
        </w:tc>
        <w:tc>
          <w:tcPr>
            <w:tcW w:w="739" w:type="dxa"/>
            <w:vAlign w:val="center"/>
          </w:tcPr>
          <w:p>
            <w:pPr>
              <w:spacing w:line="340" w:lineRule="exact"/>
              <w:jc w:val="center"/>
              <w:rPr>
                <w:rFonts w:ascii="宋体" w:hAnsi="宋体" w:cs="宋体"/>
                <w:szCs w:val="21"/>
              </w:rPr>
            </w:pPr>
            <w:r>
              <w:rPr>
                <w:rFonts w:hint="eastAsia" w:ascii="宋体" w:hAnsi="宋体" w:cs="宋体"/>
                <w:szCs w:val="21"/>
              </w:rPr>
              <w:t>英语</w:t>
            </w:r>
          </w:p>
        </w:tc>
        <w:tc>
          <w:tcPr>
            <w:tcW w:w="720" w:type="dxa"/>
            <w:vAlign w:val="center"/>
          </w:tcPr>
          <w:p>
            <w:pPr>
              <w:spacing w:line="340" w:lineRule="exact"/>
              <w:jc w:val="center"/>
              <w:rPr>
                <w:szCs w:val="21"/>
              </w:rPr>
            </w:pPr>
            <w:r>
              <w:rPr>
                <w:rFonts w:hint="eastAsia"/>
                <w:szCs w:val="21"/>
              </w:rPr>
              <w:t>中学一级</w:t>
            </w:r>
          </w:p>
        </w:tc>
        <w:tc>
          <w:tcPr>
            <w:tcW w:w="851" w:type="dxa"/>
            <w:vAlign w:val="center"/>
          </w:tcPr>
          <w:p>
            <w:pPr>
              <w:spacing w:line="340" w:lineRule="exact"/>
              <w:jc w:val="center"/>
              <w:rPr>
                <w:szCs w:val="21"/>
              </w:rPr>
            </w:pPr>
            <w:r>
              <w:rPr>
                <w:rFonts w:hint="eastAsia"/>
                <w:szCs w:val="21"/>
              </w:rPr>
              <w:t>生物</w:t>
            </w:r>
          </w:p>
        </w:tc>
        <w:tc>
          <w:tcPr>
            <w:tcW w:w="567" w:type="dxa"/>
            <w:vAlign w:val="center"/>
          </w:tcPr>
          <w:p>
            <w:pPr>
              <w:spacing w:line="340" w:lineRule="exact"/>
              <w:jc w:val="center"/>
              <w:rPr>
                <w:rFonts w:ascii="宋体" w:hAnsi="宋体" w:cs="宋体"/>
                <w:szCs w:val="21"/>
              </w:rPr>
            </w:pPr>
            <w:r>
              <w:rPr>
                <w:rFonts w:hint="eastAsia" w:ascii="宋体" w:hAnsi="宋体" w:cs="宋体"/>
                <w:szCs w:val="21"/>
              </w:rPr>
              <w:t>11</w:t>
            </w:r>
          </w:p>
        </w:tc>
        <w:tc>
          <w:tcPr>
            <w:tcW w:w="3260" w:type="dxa"/>
            <w:vAlign w:val="center"/>
          </w:tcPr>
          <w:p>
            <w:pPr>
              <w:spacing w:line="340" w:lineRule="exact"/>
              <w:jc w:val="left"/>
              <w:rPr>
                <w:rFonts w:ascii="宋体"/>
                <w:szCs w:val="21"/>
              </w:rPr>
            </w:pPr>
            <w:r>
              <w:rPr>
                <w:rFonts w:hint="eastAsia" w:ascii="宋体"/>
                <w:szCs w:val="21"/>
              </w:rPr>
              <w:t>武进区政府嘉奖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340" w:lineRule="exact"/>
              <w:jc w:val="center"/>
              <w:rPr>
                <w:rFonts w:ascii="宋体" w:hAnsi="宋体" w:cs="宋体"/>
                <w:szCs w:val="21"/>
              </w:rPr>
            </w:pPr>
            <w:r>
              <w:rPr>
                <w:rFonts w:hint="eastAsia" w:ascii="宋体" w:hAnsi="宋体" w:cs="宋体"/>
                <w:szCs w:val="21"/>
              </w:rPr>
              <w:t>蔡文杰</w:t>
            </w:r>
          </w:p>
        </w:tc>
        <w:tc>
          <w:tcPr>
            <w:tcW w:w="461" w:type="dxa"/>
            <w:vAlign w:val="center"/>
          </w:tcPr>
          <w:p>
            <w:pPr>
              <w:spacing w:line="340" w:lineRule="exact"/>
              <w:jc w:val="center"/>
              <w:rPr>
                <w:rFonts w:ascii="宋体" w:hAnsi="宋体" w:cs="宋体"/>
                <w:szCs w:val="21"/>
              </w:rPr>
            </w:pPr>
            <w:r>
              <w:rPr>
                <w:rFonts w:hint="eastAsia" w:ascii="宋体" w:hAnsi="宋体" w:cs="宋体"/>
                <w:szCs w:val="21"/>
              </w:rPr>
              <w:t>男</w:t>
            </w:r>
          </w:p>
        </w:tc>
        <w:tc>
          <w:tcPr>
            <w:tcW w:w="517" w:type="dxa"/>
            <w:vAlign w:val="center"/>
          </w:tcPr>
          <w:p>
            <w:pPr>
              <w:spacing w:line="340" w:lineRule="exact"/>
              <w:jc w:val="center"/>
              <w:rPr>
                <w:rFonts w:ascii="宋体" w:hAnsi="宋体" w:cs="宋体"/>
                <w:szCs w:val="21"/>
              </w:rPr>
            </w:pPr>
            <w:r>
              <w:rPr>
                <w:rFonts w:hint="eastAsia" w:ascii="宋体" w:hAnsi="宋体" w:cs="宋体"/>
                <w:szCs w:val="21"/>
              </w:rPr>
              <w:t>37</w:t>
            </w:r>
          </w:p>
        </w:tc>
        <w:tc>
          <w:tcPr>
            <w:tcW w:w="933" w:type="dxa"/>
            <w:vAlign w:val="center"/>
          </w:tcPr>
          <w:p>
            <w:pPr>
              <w:spacing w:line="340" w:lineRule="exact"/>
              <w:jc w:val="left"/>
              <w:rPr>
                <w:rFonts w:ascii="宋体" w:hAnsi="宋体" w:cs="宋体"/>
                <w:szCs w:val="21"/>
              </w:rPr>
            </w:pPr>
            <w:r>
              <w:rPr>
                <w:rFonts w:hint="eastAsia" w:ascii="宋体" w:hAnsi="宋体" w:cs="宋体"/>
                <w:szCs w:val="21"/>
              </w:rPr>
              <w:t>总务处副主任</w:t>
            </w:r>
          </w:p>
        </w:tc>
        <w:tc>
          <w:tcPr>
            <w:tcW w:w="710" w:type="dxa"/>
            <w:vAlign w:val="center"/>
          </w:tcPr>
          <w:p>
            <w:pPr>
              <w:spacing w:line="340" w:lineRule="exact"/>
              <w:jc w:val="center"/>
              <w:rPr>
                <w:szCs w:val="21"/>
              </w:rPr>
            </w:pPr>
            <w:r>
              <w:rPr>
                <w:rFonts w:hint="eastAsia"/>
                <w:szCs w:val="21"/>
              </w:rPr>
              <w:t>本科</w:t>
            </w:r>
          </w:p>
        </w:tc>
        <w:tc>
          <w:tcPr>
            <w:tcW w:w="739" w:type="dxa"/>
            <w:vAlign w:val="center"/>
          </w:tcPr>
          <w:p>
            <w:pPr>
              <w:spacing w:line="340" w:lineRule="exact"/>
              <w:jc w:val="center"/>
              <w:rPr>
                <w:rFonts w:ascii="宋体" w:hAnsi="宋体" w:cs="宋体"/>
                <w:szCs w:val="21"/>
              </w:rPr>
            </w:pPr>
            <w:r>
              <w:rPr>
                <w:rFonts w:hint="eastAsia" w:ascii="宋体" w:hAnsi="宋体" w:cs="宋体"/>
                <w:szCs w:val="21"/>
              </w:rPr>
              <w:t>历史</w:t>
            </w:r>
          </w:p>
        </w:tc>
        <w:tc>
          <w:tcPr>
            <w:tcW w:w="720" w:type="dxa"/>
            <w:vAlign w:val="center"/>
          </w:tcPr>
          <w:p>
            <w:pPr>
              <w:spacing w:line="340" w:lineRule="exact"/>
              <w:jc w:val="center"/>
              <w:rPr>
                <w:rFonts w:ascii="宋体" w:hAnsi="宋体" w:cs="宋体"/>
                <w:szCs w:val="21"/>
              </w:rPr>
            </w:pPr>
            <w:r>
              <w:rPr>
                <w:rFonts w:hint="eastAsia" w:ascii="宋体" w:hAnsi="宋体" w:cs="宋体"/>
                <w:szCs w:val="21"/>
              </w:rPr>
              <w:t>中学一级</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历史</w:t>
            </w:r>
          </w:p>
        </w:tc>
        <w:tc>
          <w:tcPr>
            <w:tcW w:w="567" w:type="dxa"/>
            <w:vAlign w:val="center"/>
          </w:tcPr>
          <w:p>
            <w:pPr>
              <w:spacing w:line="340" w:lineRule="exact"/>
              <w:jc w:val="center"/>
              <w:rPr>
                <w:rFonts w:ascii="宋体" w:hAnsi="宋体" w:cs="宋体"/>
                <w:szCs w:val="21"/>
              </w:rPr>
            </w:pPr>
            <w:r>
              <w:rPr>
                <w:rFonts w:hint="eastAsia" w:ascii="宋体" w:hAnsi="宋体" w:cs="宋体"/>
                <w:szCs w:val="21"/>
              </w:rPr>
              <w:t>6</w:t>
            </w:r>
          </w:p>
        </w:tc>
        <w:tc>
          <w:tcPr>
            <w:tcW w:w="3260" w:type="dxa"/>
            <w:vAlign w:val="center"/>
          </w:tcPr>
          <w:p>
            <w:pPr>
              <w:spacing w:line="340" w:lineRule="exact"/>
              <w:jc w:val="left"/>
              <w:rPr>
                <w:rFonts w:ascii="宋体"/>
                <w:szCs w:val="21"/>
              </w:rPr>
            </w:pPr>
            <w:r>
              <w:rPr>
                <w:rFonts w:hint="eastAsia" w:ascii="宋体"/>
                <w:szCs w:val="21"/>
              </w:rPr>
              <w:t>常州市历史学科教学能手、常州市青年教师基本功大赛二等奖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340" w:lineRule="exact"/>
              <w:jc w:val="center"/>
              <w:rPr>
                <w:rFonts w:ascii="宋体" w:hAnsi="宋体" w:cs="宋体"/>
                <w:szCs w:val="21"/>
              </w:rPr>
            </w:pPr>
            <w:r>
              <w:rPr>
                <w:rFonts w:hint="eastAsia" w:ascii="宋体" w:hAnsi="宋体" w:cs="宋体"/>
                <w:szCs w:val="21"/>
              </w:rPr>
              <w:t>刘芳</w:t>
            </w:r>
          </w:p>
        </w:tc>
        <w:tc>
          <w:tcPr>
            <w:tcW w:w="461" w:type="dxa"/>
            <w:vAlign w:val="center"/>
          </w:tcPr>
          <w:p>
            <w:pPr>
              <w:spacing w:line="340" w:lineRule="exact"/>
              <w:jc w:val="center"/>
              <w:rPr>
                <w:rFonts w:ascii="宋体" w:hAnsi="宋体" w:cs="宋体"/>
                <w:szCs w:val="21"/>
              </w:rPr>
            </w:pPr>
            <w:r>
              <w:rPr>
                <w:rFonts w:hint="eastAsia" w:ascii="宋体" w:hAnsi="宋体" w:cs="宋体"/>
                <w:szCs w:val="21"/>
              </w:rPr>
              <w:t>女</w:t>
            </w:r>
          </w:p>
        </w:tc>
        <w:tc>
          <w:tcPr>
            <w:tcW w:w="517" w:type="dxa"/>
            <w:vAlign w:val="center"/>
          </w:tcPr>
          <w:p>
            <w:pPr>
              <w:spacing w:line="340" w:lineRule="exact"/>
              <w:jc w:val="center"/>
              <w:rPr>
                <w:rFonts w:ascii="宋体" w:hAnsi="宋体" w:cs="宋体"/>
                <w:szCs w:val="21"/>
              </w:rPr>
            </w:pPr>
            <w:r>
              <w:rPr>
                <w:rFonts w:hint="eastAsia" w:ascii="宋体" w:hAnsi="宋体" w:cs="宋体"/>
                <w:szCs w:val="21"/>
              </w:rPr>
              <w:t>40</w:t>
            </w:r>
          </w:p>
        </w:tc>
        <w:tc>
          <w:tcPr>
            <w:tcW w:w="933" w:type="dxa"/>
            <w:vAlign w:val="center"/>
          </w:tcPr>
          <w:p>
            <w:pPr>
              <w:spacing w:line="340" w:lineRule="exact"/>
              <w:jc w:val="left"/>
              <w:rPr>
                <w:rFonts w:ascii="宋体" w:hAnsi="宋体" w:cs="宋体"/>
                <w:szCs w:val="21"/>
              </w:rPr>
            </w:pPr>
            <w:r>
              <w:rPr>
                <w:rFonts w:hint="eastAsia" w:ascii="宋体" w:hAnsi="宋体" w:cs="宋体"/>
                <w:szCs w:val="21"/>
              </w:rPr>
              <w:t>财务处主任</w:t>
            </w:r>
          </w:p>
        </w:tc>
        <w:tc>
          <w:tcPr>
            <w:tcW w:w="710" w:type="dxa"/>
            <w:vAlign w:val="center"/>
          </w:tcPr>
          <w:p>
            <w:pPr>
              <w:spacing w:line="340" w:lineRule="exact"/>
              <w:jc w:val="center"/>
              <w:rPr>
                <w:szCs w:val="21"/>
              </w:rPr>
            </w:pPr>
            <w:r>
              <w:rPr>
                <w:rFonts w:hint="eastAsia"/>
                <w:szCs w:val="21"/>
              </w:rPr>
              <w:t>本科</w:t>
            </w:r>
          </w:p>
        </w:tc>
        <w:tc>
          <w:tcPr>
            <w:tcW w:w="739" w:type="dxa"/>
            <w:vAlign w:val="center"/>
          </w:tcPr>
          <w:p>
            <w:pPr>
              <w:spacing w:line="340" w:lineRule="exact"/>
              <w:jc w:val="center"/>
              <w:rPr>
                <w:rFonts w:ascii="宋体" w:hAnsi="宋体" w:cs="宋体"/>
                <w:szCs w:val="21"/>
              </w:rPr>
            </w:pPr>
          </w:p>
        </w:tc>
        <w:tc>
          <w:tcPr>
            <w:tcW w:w="720" w:type="dxa"/>
            <w:vAlign w:val="center"/>
          </w:tcPr>
          <w:p>
            <w:pPr>
              <w:spacing w:line="340" w:lineRule="exact"/>
              <w:jc w:val="center"/>
              <w:rPr>
                <w:rFonts w:ascii="宋体" w:hAnsi="宋体" w:cs="宋体"/>
                <w:szCs w:val="21"/>
              </w:rPr>
            </w:pPr>
            <w:r>
              <w:rPr>
                <w:rFonts w:hint="eastAsia" w:ascii="宋体" w:hAnsi="宋体" w:cs="宋体"/>
                <w:szCs w:val="21"/>
              </w:rPr>
              <w:t>助理会计师</w:t>
            </w:r>
          </w:p>
        </w:tc>
        <w:tc>
          <w:tcPr>
            <w:tcW w:w="851" w:type="dxa"/>
            <w:vAlign w:val="center"/>
          </w:tcPr>
          <w:p>
            <w:pPr>
              <w:spacing w:line="340" w:lineRule="exact"/>
              <w:jc w:val="center"/>
              <w:rPr>
                <w:rFonts w:ascii="宋体" w:hAnsi="宋体" w:cs="宋体"/>
                <w:szCs w:val="21"/>
              </w:rPr>
            </w:pPr>
          </w:p>
        </w:tc>
        <w:tc>
          <w:tcPr>
            <w:tcW w:w="567" w:type="dxa"/>
            <w:vAlign w:val="center"/>
          </w:tcPr>
          <w:p>
            <w:pPr>
              <w:spacing w:line="340" w:lineRule="exact"/>
              <w:jc w:val="center"/>
              <w:rPr>
                <w:rFonts w:ascii="宋体" w:hAnsi="宋体" w:cs="宋体"/>
                <w:szCs w:val="21"/>
              </w:rPr>
            </w:pPr>
          </w:p>
        </w:tc>
        <w:tc>
          <w:tcPr>
            <w:tcW w:w="3260" w:type="dxa"/>
            <w:vAlign w:val="center"/>
          </w:tcPr>
          <w:p>
            <w:pPr>
              <w:spacing w:line="340" w:lineRule="exact"/>
              <w:jc w:val="left"/>
              <w:rPr>
                <w:rFonts w:ascii="宋体"/>
                <w:szCs w:val="21"/>
              </w:rPr>
            </w:pPr>
            <w:r>
              <w:rPr>
                <w:rFonts w:hint="eastAsia" w:ascii="宋体"/>
                <w:szCs w:val="21"/>
              </w:rPr>
              <w:t>武进区政府嘉奖、武进区年度考核优秀</w:t>
            </w:r>
          </w:p>
        </w:tc>
      </w:tr>
    </w:tbl>
    <w:p>
      <w:pPr>
        <w:tabs>
          <w:tab w:val="left" w:pos="0"/>
        </w:tabs>
        <w:spacing w:line="560" w:lineRule="exact"/>
        <w:ind w:right="560"/>
        <w:rPr>
          <w:rFonts w:ascii="宋体"/>
        </w:rPr>
      </w:pPr>
      <w:r>
        <w:rPr>
          <w:rFonts w:hint="eastAsia" w:ascii="宋体"/>
        </w:rPr>
        <w:t>注：领导班子成员指所有正式任命的中层以上干部。</w:t>
      </w: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r>
        <w:rPr>
          <w:rFonts w:hint="eastAsia" w:ascii="宋体"/>
          <w:b/>
          <w:sz w:val="28"/>
          <w:szCs w:val="28"/>
        </w:rPr>
        <w:t>6.高中专任教师情况表</w:t>
      </w:r>
    </w:p>
    <w:tbl>
      <w:tblPr>
        <w:tblStyle w:val="14"/>
        <w:tblW w:w="9513" w:type="dxa"/>
        <w:tblInd w:w="93" w:type="dxa"/>
        <w:tblLayout w:type="fixed"/>
        <w:tblCellMar>
          <w:top w:w="0" w:type="dxa"/>
          <w:left w:w="108" w:type="dxa"/>
          <w:bottom w:w="0" w:type="dxa"/>
          <w:right w:w="108" w:type="dxa"/>
        </w:tblCellMar>
      </w:tblPr>
      <w:tblGrid>
        <w:gridCol w:w="945"/>
        <w:gridCol w:w="960"/>
        <w:gridCol w:w="1005"/>
        <w:gridCol w:w="825"/>
        <w:gridCol w:w="165"/>
        <w:gridCol w:w="630"/>
        <w:gridCol w:w="870"/>
        <w:gridCol w:w="30"/>
        <w:gridCol w:w="870"/>
        <w:gridCol w:w="180"/>
        <w:gridCol w:w="3033"/>
      </w:tblGrid>
      <w:tr>
        <w:tblPrEx>
          <w:tblLayout w:type="fixed"/>
          <w:tblCellMar>
            <w:top w:w="0" w:type="dxa"/>
            <w:left w:w="108" w:type="dxa"/>
            <w:bottom w:w="0" w:type="dxa"/>
            <w:right w:w="108" w:type="dxa"/>
          </w:tblCellMar>
        </w:tblPrEx>
        <w:trPr>
          <w:trHeight w:val="300" w:hRule="atLeast"/>
        </w:trPr>
        <w:tc>
          <w:tcPr>
            <w:tcW w:w="390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总数</w:t>
            </w:r>
          </w:p>
        </w:tc>
        <w:tc>
          <w:tcPr>
            <w:tcW w:w="108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比例</w:t>
            </w:r>
          </w:p>
        </w:tc>
        <w:tc>
          <w:tcPr>
            <w:tcW w:w="303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备注</w:t>
            </w:r>
          </w:p>
        </w:tc>
      </w:tr>
      <w:tr>
        <w:tblPrEx>
          <w:tblLayout w:type="fixed"/>
          <w:tblCellMar>
            <w:top w:w="0" w:type="dxa"/>
            <w:left w:w="108" w:type="dxa"/>
            <w:bottom w:w="0" w:type="dxa"/>
            <w:right w:w="108" w:type="dxa"/>
          </w:tblCellMar>
        </w:tblPrEx>
        <w:trPr>
          <w:trHeight w:val="236" w:hRule="atLeast"/>
        </w:trPr>
        <w:tc>
          <w:tcPr>
            <w:tcW w:w="390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专任教师数</w:t>
            </w:r>
          </w:p>
        </w:tc>
        <w:tc>
          <w:tcPr>
            <w:tcW w:w="1500" w:type="dxa"/>
            <w:gridSpan w:val="2"/>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97</w:t>
            </w:r>
          </w:p>
        </w:tc>
        <w:tc>
          <w:tcPr>
            <w:tcW w:w="1080"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90.7</w:t>
            </w:r>
          </w:p>
        </w:tc>
        <w:tc>
          <w:tcPr>
            <w:tcW w:w="30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00" w:hRule="atLeast"/>
        </w:trPr>
        <w:tc>
          <w:tcPr>
            <w:tcW w:w="390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本科学历数</w:t>
            </w:r>
          </w:p>
        </w:tc>
        <w:tc>
          <w:tcPr>
            <w:tcW w:w="1500" w:type="dxa"/>
            <w:gridSpan w:val="2"/>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97</w:t>
            </w:r>
          </w:p>
        </w:tc>
        <w:tc>
          <w:tcPr>
            <w:tcW w:w="1080"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30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00" w:hRule="atLeast"/>
        </w:trPr>
        <w:tc>
          <w:tcPr>
            <w:tcW w:w="390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中学二级教师数</w:t>
            </w:r>
          </w:p>
        </w:tc>
        <w:tc>
          <w:tcPr>
            <w:tcW w:w="1500" w:type="dxa"/>
            <w:gridSpan w:val="2"/>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1080"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21.6</w:t>
            </w:r>
          </w:p>
        </w:tc>
        <w:tc>
          <w:tcPr>
            <w:tcW w:w="30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00" w:hRule="atLeast"/>
        </w:trPr>
        <w:tc>
          <w:tcPr>
            <w:tcW w:w="390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中学一级教师数</w:t>
            </w:r>
          </w:p>
        </w:tc>
        <w:tc>
          <w:tcPr>
            <w:tcW w:w="1500" w:type="dxa"/>
            <w:gridSpan w:val="2"/>
            <w:tcBorders>
              <w:top w:val="nil"/>
              <w:left w:val="nil"/>
              <w:bottom w:val="single" w:color="auto" w:sz="4" w:space="0"/>
              <w:right w:val="single" w:color="auto" w:sz="4" w:space="0"/>
            </w:tcBorders>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44</w:t>
            </w:r>
          </w:p>
        </w:tc>
        <w:tc>
          <w:tcPr>
            <w:tcW w:w="1080"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r>
              <w:rPr>
                <w:rFonts w:hint="eastAsia" w:ascii="宋体" w:hAnsi="宋体" w:cs="宋体"/>
                <w:kern w:val="0"/>
                <w:szCs w:val="21"/>
                <w:lang w:val="en-US" w:eastAsia="zh-CN"/>
              </w:rPr>
              <w:t>5</w:t>
            </w:r>
            <w:r>
              <w:rPr>
                <w:rFonts w:hint="eastAsia" w:ascii="宋体" w:hAnsi="宋体" w:cs="宋体"/>
                <w:kern w:val="0"/>
                <w:szCs w:val="21"/>
              </w:rPr>
              <w:t>.3</w:t>
            </w:r>
          </w:p>
        </w:tc>
        <w:tc>
          <w:tcPr>
            <w:tcW w:w="30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00" w:hRule="atLeast"/>
        </w:trPr>
        <w:tc>
          <w:tcPr>
            <w:tcW w:w="390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中学高级教师数</w:t>
            </w:r>
          </w:p>
        </w:tc>
        <w:tc>
          <w:tcPr>
            <w:tcW w:w="1500" w:type="dxa"/>
            <w:gridSpan w:val="2"/>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36</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37.1</w:t>
            </w:r>
          </w:p>
        </w:tc>
        <w:tc>
          <w:tcPr>
            <w:tcW w:w="30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00" w:hRule="atLeast"/>
        </w:trPr>
        <w:tc>
          <w:tcPr>
            <w:tcW w:w="390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研究生数/在读研究生数</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15/5</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20.6</w:t>
            </w:r>
          </w:p>
        </w:tc>
        <w:tc>
          <w:tcPr>
            <w:tcW w:w="30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bookmarkStart w:id="2" w:name="_GoBack"/>
            <w:bookmarkEnd w:id="2"/>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序号</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学科</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姓名</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性别</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年龄</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专业技术职称</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任教年限</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最高荣誉称号  或奖项</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语文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张瑛</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26</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江苏省作文竞赛优秀指导教师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语文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巫小才</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武进区优秀教育工作者</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语文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夏际飞</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26</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江苏省作文竞赛优秀指导教师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语文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俞海燕</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39</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江苏省作文竞赛优秀指导教师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语文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刘晏昌</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常州市骨干教师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语文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曹家生</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22</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江苏省作文竞赛优秀指导教师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语文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马晓峰</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43</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19</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江苏省作文竞赛优秀指导教师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语文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王奇娜</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39</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15</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江苏省作文竞赛优秀指导教师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语文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包涵军</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39</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15</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江苏省作文竞赛优秀指导教师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语文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冯凯</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常州市优秀班主任</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语文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贾湘玉</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江苏省作文竞赛优秀指导教师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语文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岳敏峰</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13</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江苏省作文竞赛优秀指导教师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语文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李飞</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15</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江苏省作文竞赛优秀指导教师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语文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赵瑜佳</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武进区政府嘉奖　</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语文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王万驰</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29</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刚录用</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0</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孟震宇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55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33</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武进区学科带头人</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苏其平</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25</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常州市德育先进工作者</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秦石</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55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31</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武进区政府嘉奖</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邹国强</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43</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19</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常州市第八批骨干教师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谷军文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49</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25</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洛阳高中校师德模范</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龚亚东</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23</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常州市减负增效先进个人</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姜卫坚</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39</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15</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武进区先进教育工作者</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王宏亮</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武进区考核优秀</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徐莉芬</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常州市优秀班主任</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周奕</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常州市教学能手</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吴春霞</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13</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武进区政府嘉奖</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谈燕华</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12</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常州市教坛新秀</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江锋</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16</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武进区考核优秀</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杨娟</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39</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15</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洛阳高中校级骨干教师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朱敏娟</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武进区考核优秀</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程艳</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13</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洛阳高中校级骨干教师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虞静娴</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12</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武进区考核优秀</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王翔</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宋超</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英语</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徐文君</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55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36</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武进区政府嘉奖</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36</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英语</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刘东华</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57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33</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武进区优秀教育工作者</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37</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英语</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许虹</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27</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武进区优秀教育工作者</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38</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英语</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张敏燕</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25</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常州市德育先进工作者</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39</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英语</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杨小波</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25</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武进区中学英语学科带头人</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40</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英语</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费云德</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23</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武进区优秀教育工作者</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41</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英语</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周建扬</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56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39</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武进区优秀教育工作者</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42</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英语</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张静凯</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22</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武进区骨干教师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英语</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梁景霞</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39</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洛阳高中校级骨干教师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44</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英语</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吴伟东</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13</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武进区政府嘉奖</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45</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英语</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王联锋</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12</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全国优秀科技辅导员</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46</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英语</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施红艳</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12</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武进区政府嘉奖</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47</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英语</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张建芬</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9</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武进区考核优秀</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48</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英语</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姚晓霞</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武进区政府嘉奖</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49</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英语</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谢文珠</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武进区评优课二等奖</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50</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政治</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陈建平</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56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33</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常州市学科带头人</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政治</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宣建英</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51</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26</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常州市学科带头人</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52</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政治</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谈晓旻</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21</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武进区学科带头人</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53</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政治</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李佳英</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13</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武进区优秀教育工作者</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54</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政治</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许光英</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12</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常州市骨干教师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55</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历史</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吴琴芳</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50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28</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常州市德育先进工作者</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56</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历史</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严志才</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21</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武进区历史骨干教师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57</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历史</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崔勇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18</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武进区学科带头人</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58</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历史</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蔡文杰</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常州市教学能手</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59</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历史</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徐莹</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6</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武进区政府嘉奖　</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60</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地理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童勇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52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31</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常州市中学地理学科带头人</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61</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地理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黄亚红</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52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27</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常州市骨干教师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62</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地理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周广宇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51</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27</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武进区现代教育技术先进个人</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63</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地理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王翼成</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12</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全国优秀科技辅导员</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64</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地理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韩平</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31</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7</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武进区信息化教学能手</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65</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物理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吴伟庆</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20</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洛阳高中校级骨干教师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66</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物理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黄包罗</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41</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16</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武进区骨干教师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67</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物理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胡春燕</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13</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省物理竞赛优秀指导老师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68</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物理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徐献鹤</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武进区政府嘉奖　</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69</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物理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陶甫</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武进区优秀志愿者</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70</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化学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王坚</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常州市骨干教师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71</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化学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樊耀平</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武进区政府嘉奖</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72</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化学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顾涛</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15</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常州市教学能手</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73</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化学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张娟</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洛阳高中校级骨干教师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74</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生物</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谈国庆</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56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33</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常州市学科带头人</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75</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生物</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韩丽</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13</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江苏省生物竞赛优秀指导老师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76</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生物</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俞秋锦</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10</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常州市教坛新秀</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77</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生物</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潘峰</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18</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武进区政府嘉奖</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78</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音乐</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庞金南</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11</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武进区短剧比赛优秀指导教师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79</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音乐</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谈菁</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11</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常州市三独比赛优秀指导老师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80</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音乐</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王艺桦</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武进区评优课一等奖</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81</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音乐</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杨姗姗</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18</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常州市声乐比赛优秀指导教师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82</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体育</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郑振海</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26</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武进区优秀教练员</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83</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体育</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张胜利</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18</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常州市第十三届运动会先进个人</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84</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体育</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秦小强</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武进区优秀教练员</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85</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体育</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李嘉玲</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13</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武进区优秀教练员</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86</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体育</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虞飞鹏</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39</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13</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武进区优秀教练员</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87</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美术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刘新茹</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常州市“两条一规”先进个人</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88</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美术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钱玲玲</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武进区绘画比赛优秀指导老师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89</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美术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秦旻</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13</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武进区优秀艺术教育工作者</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90</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美术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张桔</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13</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常州市教坛新秀</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91</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美术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吴燕</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12</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武进区骨干教师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92</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美术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虞赛玉</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11</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常州市骨干教师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93</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美术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刘超</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8</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常州市教坛新秀</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94</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美术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沈红</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7</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武进区绘画比赛优秀指导老师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95</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通技</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谢立群</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37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江苏省通用技术教学竞赛三等奖</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96</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信息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郭劲华</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24</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武进区骨干教师</w:t>
            </w:r>
          </w:p>
        </w:tc>
      </w:tr>
      <w:tr>
        <w:tblPrEx>
          <w:tblLayout w:type="fixed"/>
          <w:tblCellMar>
            <w:top w:w="15" w:type="dxa"/>
            <w:left w:w="108" w:type="dxa"/>
            <w:bottom w:w="15"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97</w:t>
            </w:r>
          </w:p>
        </w:tc>
        <w:tc>
          <w:tcPr>
            <w:tcW w:w="96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信息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梅娟</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41</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color w:val="000000"/>
                <w:kern w:val="0"/>
                <w:szCs w:val="21"/>
              </w:rPr>
            </w:pPr>
            <w:r>
              <w:rPr>
                <w:rFonts w:ascii="Arial" w:hAnsi="Arial" w:cs="Arial"/>
                <w:color w:val="000000"/>
                <w:kern w:val="0"/>
                <w:szCs w:val="21"/>
              </w:rPr>
              <w:t>17</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武进区现代教育技术先进个人</w:t>
            </w:r>
          </w:p>
        </w:tc>
      </w:tr>
    </w:tbl>
    <w:p>
      <w:pPr>
        <w:snapToGrid w:val="0"/>
        <w:rPr>
          <w:rFonts w:ascii="宋体" w:hAnsi="宋体"/>
          <w:szCs w:val="21"/>
        </w:rPr>
      </w:pPr>
      <w:r>
        <w:rPr>
          <w:rFonts w:hint="eastAsia" w:ascii="宋体"/>
        </w:rPr>
        <w:t>注：专任教师比例指专任教师占全校教职工总数的比例，其余比例指占专任教师总数的比例。</w:t>
      </w: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r>
        <w:rPr>
          <w:rFonts w:hint="eastAsia" w:ascii="宋体"/>
          <w:b/>
          <w:sz w:val="28"/>
          <w:szCs w:val="28"/>
        </w:rPr>
        <w:t xml:space="preserve">7.高中骨干教师情况表 </w:t>
      </w:r>
    </w:p>
    <w:tbl>
      <w:tblPr>
        <w:tblStyle w:val="14"/>
        <w:tblW w:w="87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750"/>
        <w:gridCol w:w="216"/>
        <w:gridCol w:w="736"/>
        <w:gridCol w:w="103"/>
        <w:gridCol w:w="564"/>
        <w:gridCol w:w="979"/>
        <w:gridCol w:w="90"/>
        <w:gridCol w:w="650"/>
        <w:gridCol w:w="118"/>
        <w:gridCol w:w="434"/>
        <w:gridCol w:w="279"/>
        <w:gridCol w:w="572"/>
        <w:gridCol w:w="708"/>
        <w:gridCol w:w="709"/>
        <w:gridCol w:w="649"/>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8744" w:type="dxa"/>
            <w:gridSpan w:val="17"/>
            <w:vAlign w:val="center"/>
          </w:tcPr>
          <w:p>
            <w:pPr>
              <w:adjustRightInd w:val="0"/>
              <w:ind w:right="1381"/>
              <w:jc w:val="center"/>
              <w:textAlignment w:val="baseline"/>
              <w:rPr>
                <w:szCs w:val="21"/>
              </w:rPr>
            </w:pPr>
            <w:r>
              <w:rPr>
                <w:rFonts w:hint="eastAsia"/>
                <w:szCs w:val="21"/>
              </w:rPr>
              <w:t>名、特、优教师情况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276" w:type="dxa"/>
            <w:gridSpan w:val="2"/>
            <w:vMerge w:val="restart"/>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类    别</w:t>
            </w:r>
          </w:p>
        </w:tc>
        <w:tc>
          <w:tcPr>
            <w:tcW w:w="1055" w:type="dxa"/>
            <w:gridSpan w:val="3"/>
            <w:vMerge w:val="restart"/>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姓  名</w:t>
            </w:r>
          </w:p>
        </w:tc>
        <w:tc>
          <w:tcPr>
            <w:tcW w:w="564" w:type="dxa"/>
            <w:vMerge w:val="restart"/>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学 科</w:t>
            </w:r>
          </w:p>
        </w:tc>
        <w:tc>
          <w:tcPr>
            <w:tcW w:w="979" w:type="dxa"/>
            <w:vMerge w:val="restart"/>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年 龄</w:t>
            </w:r>
          </w:p>
        </w:tc>
        <w:tc>
          <w:tcPr>
            <w:tcW w:w="740" w:type="dxa"/>
            <w:gridSpan w:val="2"/>
            <w:vMerge w:val="restart"/>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评定</w:t>
            </w:r>
          </w:p>
          <w:p>
            <w:pPr>
              <w:tabs>
                <w:tab w:val="left" w:pos="9135"/>
              </w:tabs>
              <w:adjustRightInd w:val="0"/>
              <w:snapToGrid w:val="0"/>
              <w:spacing w:line="240" w:lineRule="atLeast"/>
              <w:jc w:val="center"/>
              <w:rPr>
                <w:rFonts w:ascii="宋体" w:hAnsi="宋体"/>
                <w:szCs w:val="21"/>
              </w:rPr>
            </w:pPr>
            <w:r>
              <w:rPr>
                <w:rFonts w:hint="eastAsia" w:ascii="宋体" w:hAnsi="宋体"/>
                <w:szCs w:val="21"/>
              </w:rPr>
              <w:t>时间</w:t>
            </w:r>
          </w:p>
        </w:tc>
        <w:tc>
          <w:tcPr>
            <w:tcW w:w="831" w:type="dxa"/>
            <w:gridSpan w:val="3"/>
            <w:vMerge w:val="restart"/>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是否</w:t>
            </w:r>
          </w:p>
          <w:p>
            <w:pPr>
              <w:tabs>
                <w:tab w:val="left" w:pos="9135"/>
              </w:tabs>
              <w:adjustRightInd w:val="0"/>
              <w:snapToGrid w:val="0"/>
              <w:spacing w:line="240" w:lineRule="atLeast"/>
              <w:jc w:val="center"/>
              <w:rPr>
                <w:rFonts w:ascii="宋体" w:hAnsi="宋体"/>
                <w:szCs w:val="21"/>
              </w:rPr>
            </w:pPr>
            <w:r>
              <w:rPr>
                <w:rFonts w:hint="eastAsia" w:ascii="宋体" w:hAnsi="宋体"/>
                <w:szCs w:val="21"/>
              </w:rPr>
              <w:t>本校</w:t>
            </w:r>
          </w:p>
          <w:p>
            <w:pPr>
              <w:tabs>
                <w:tab w:val="left" w:pos="9135"/>
              </w:tabs>
              <w:adjustRightInd w:val="0"/>
              <w:snapToGrid w:val="0"/>
              <w:spacing w:line="240" w:lineRule="atLeast"/>
              <w:jc w:val="center"/>
              <w:rPr>
                <w:rFonts w:ascii="宋体" w:hAnsi="宋体"/>
                <w:szCs w:val="21"/>
              </w:rPr>
            </w:pPr>
            <w:r>
              <w:rPr>
                <w:rFonts w:hint="eastAsia" w:ascii="宋体" w:hAnsi="宋体"/>
                <w:szCs w:val="21"/>
              </w:rPr>
              <w:t>送评</w:t>
            </w:r>
          </w:p>
        </w:tc>
        <w:tc>
          <w:tcPr>
            <w:tcW w:w="1989" w:type="dxa"/>
            <w:gridSpan w:val="3"/>
            <w:vMerge w:val="restart"/>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是否</w:t>
            </w:r>
          </w:p>
          <w:p>
            <w:pPr>
              <w:tabs>
                <w:tab w:val="left" w:pos="9135"/>
              </w:tabs>
              <w:adjustRightInd w:val="0"/>
              <w:snapToGrid w:val="0"/>
              <w:spacing w:line="240" w:lineRule="atLeast"/>
              <w:jc w:val="center"/>
              <w:rPr>
                <w:rFonts w:ascii="宋体" w:hAnsi="宋体"/>
                <w:szCs w:val="21"/>
              </w:rPr>
            </w:pPr>
            <w:r>
              <w:rPr>
                <w:rFonts w:hint="eastAsia" w:ascii="宋体" w:hAnsi="宋体"/>
                <w:szCs w:val="21"/>
              </w:rPr>
              <w:t>在编</w:t>
            </w:r>
          </w:p>
          <w:p>
            <w:pPr>
              <w:tabs>
                <w:tab w:val="left" w:pos="9135"/>
              </w:tabs>
              <w:adjustRightInd w:val="0"/>
              <w:snapToGrid w:val="0"/>
              <w:spacing w:line="240" w:lineRule="atLeast"/>
              <w:jc w:val="center"/>
              <w:rPr>
                <w:rFonts w:ascii="宋体" w:hAnsi="宋体"/>
                <w:szCs w:val="21"/>
              </w:rPr>
            </w:pPr>
            <w:r>
              <w:rPr>
                <w:rFonts w:hint="eastAsia" w:ascii="宋体" w:hAnsi="宋体"/>
                <w:szCs w:val="21"/>
              </w:rPr>
              <w:t>在岗</w:t>
            </w:r>
          </w:p>
        </w:tc>
        <w:tc>
          <w:tcPr>
            <w:tcW w:w="1310" w:type="dxa"/>
            <w:gridSpan w:val="2"/>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是否外聘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276" w:type="dxa"/>
            <w:gridSpan w:val="2"/>
            <w:vMerge w:val="continue"/>
            <w:vAlign w:val="center"/>
          </w:tcPr>
          <w:p>
            <w:pPr>
              <w:tabs>
                <w:tab w:val="left" w:pos="9135"/>
              </w:tabs>
              <w:adjustRightInd w:val="0"/>
              <w:snapToGrid w:val="0"/>
              <w:spacing w:line="240" w:lineRule="atLeast"/>
              <w:jc w:val="center"/>
              <w:rPr>
                <w:rFonts w:ascii="宋体" w:hAnsi="宋体"/>
                <w:szCs w:val="21"/>
              </w:rPr>
            </w:pPr>
          </w:p>
        </w:tc>
        <w:tc>
          <w:tcPr>
            <w:tcW w:w="1055" w:type="dxa"/>
            <w:gridSpan w:val="3"/>
            <w:vMerge w:val="continue"/>
            <w:vAlign w:val="center"/>
          </w:tcPr>
          <w:p>
            <w:pPr>
              <w:tabs>
                <w:tab w:val="left" w:pos="9135"/>
              </w:tabs>
              <w:adjustRightInd w:val="0"/>
              <w:snapToGrid w:val="0"/>
              <w:spacing w:line="240" w:lineRule="atLeast"/>
              <w:jc w:val="center"/>
              <w:rPr>
                <w:rFonts w:ascii="宋体" w:hAnsi="宋体"/>
                <w:szCs w:val="21"/>
              </w:rPr>
            </w:pPr>
          </w:p>
        </w:tc>
        <w:tc>
          <w:tcPr>
            <w:tcW w:w="564" w:type="dxa"/>
            <w:vMerge w:val="continue"/>
            <w:vAlign w:val="center"/>
          </w:tcPr>
          <w:p>
            <w:pPr>
              <w:tabs>
                <w:tab w:val="left" w:pos="9135"/>
              </w:tabs>
              <w:adjustRightInd w:val="0"/>
              <w:snapToGrid w:val="0"/>
              <w:spacing w:line="240" w:lineRule="atLeast"/>
              <w:jc w:val="center"/>
              <w:rPr>
                <w:rFonts w:ascii="宋体" w:hAnsi="宋体"/>
                <w:szCs w:val="21"/>
              </w:rPr>
            </w:pPr>
          </w:p>
        </w:tc>
        <w:tc>
          <w:tcPr>
            <w:tcW w:w="979" w:type="dxa"/>
            <w:vMerge w:val="continue"/>
            <w:vAlign w:val="center"/>
          </w:tcPr>
          <w:p>
            <w:pPr>
              <w:tabs>
                <w:tab w:val="left" w:pos="9135"/>
              </w:tabs>
              <w:adjustRightInd w:val="0"/>
              <w:snapToGrid w:val="0"/>
              <w:spacing w:line="240" w:lineRule="atLeast"/>
              <w:jc w:val="center"/>
              <w:rPr>
                <w:rFonts w:ascii="宋体" w:hAnsi="宋体"/>
                <w:szCs w:val="21"/>
              </w:rPr>
            </w:pPr>
          </w:p>
        </w:tc>
        <w:tc>
          <w:tcPr>
            <w:tcW w:w="740" w:type="dxa"/>
            <w:gridSpan w:val="2"/>
            <w:vMerge w:val="continue"/>
            <w:vAlign w:val="center"/>
          </w:tcPr>
          <w:p>
            <w:pPr>
              <w:tabs>
                <w:tab w:val="left" w:pos="9135"/>
              </w:tabs>
              <w:adjustRightInd w:val="0"/>
              <w:snapToGrid w:val="0"/>
              <w:spacing w:line="240" w:lineRule="atLeast"/>
              <w:jc w:val="center"/>
              <w:rPr>
                <w:rFonts w:ascii="宋体" w:hAnsi="宋体"/>
                <w:szCs w:val="21"/>
              </w:rPr>
            </w:pPr>
          </w:p>
        </w:tc>
        <w:tc>
          <w:tcPr>
            <w:tcW w:w="831" w:type="dxa"/>
            <w:gridSpan w:val="3"/>
            <w:vMerge w:val="continue"/>
            <w:vAlign w:val="center"/>
          </w:tcPr>
          <w:p>
            <w:pPr>
              <w:tabs>
                <w:tab w:val="left" w:pos="9135"/>
              </w:tabs>
              <w:adjustRightInd w:val="0"/>
              <w:snapToGrid w:val="0"/>
              <w:spacing w:line="240" w:lineRule="atLeast"/>
              <w:jc w:val="center"/>
              <w:rPr>
                <w:rFonts w:ascii="宋体" w:hAnsi="宋体"/>
                <w:szCs w:val="21"/>
              </w:rPr>
            </w:pPr>
          </w:p>
        </w:tc>
        <w:tc>
          <w:tcPr>
            <w:tcW w:w="1989" w:type="dxa"/>
            <w:gridSpan w:val="3"/>
            <w:vMerge w:val="continue"/>
            <w:vAlign w:val="center"/>
          </w:tcPr>
          <w:p>
            <w:pPr>
              <w:tabs>
                <w:tab w:val="left" w:pos="9135"/>
              </w:tabs>
              <w:adjustRightInd w:val="0"/>
              <w:snapToGrid w:val="0"/>
              <w:spacing w:line="240" w:lineRule="atLeast"/>
              <w:jc w:val="center"/>
              <w:rPr>
                <w:rFonts w:ascii="宋体" w:hAnsi="宋体"/>
                <w:szCs w:val="21"/>
              </w:rPr>
            </w:pPr>
          </w:p>
        </w:tc>
        <w:tc>
          <w:tcPr>
            <w:tcW w:w="649"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聘任</w:t>
            </w:r>
          </w:p>
          <w:p>
            <w:pPr>
              <w:tabs>
                <w:tab w:val="left" w:pos="9135"/>
              </w:tabs>
              <w:adjustRightInd w:val="0"/>
              <w:snapToGrid w:val="0"/>
              <w:spacing w:line="240" w:lineRule="atLeast"/>
              <w:jc w:val="center"/>
              <w:rPr>
                <w:rFonts w:ascii="宋体" w:hAnsi="宋体"/>
                <w:szCs w:val="21"/>
              </w:rPr>
            </w:pPr>
            <w:r>
              <w:rPr>
                <w:rFonts w:hint="eastAsia" w:ascii="宋体" w:hAnsi="宋体"/>
                <w:szCs w:val="21"/>
              </w:rPr>
              <w:t>年月</w:t>
            </w:r>
          </w:p>
        </w:tc>
        <w:tc>
          <w:tcPr>
            <w:tcW w:w="661" w:type="dxa"/>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周课</w:t>
            </w:r>
          </w:p>
          <w:p>
            <w:pPr>
              <w:tabs>
                <w:tab w:val="left" w:pos="9135"/>
              </w:tabs>
              <w:adjustRightInd w:val="0"/>
              <w:snapToGrid w:val="0"/>
              <w:spacing w:line="240" w:lineRule="atLeast"/>
              <w:jc w:val="center"/>
              <w:rPr>
                <w:rFonts w:ascii="宋体" w:hAnsi="宋体"/>
                <w:szCs w:val="21"/>
              </w:rPr>
            </w:pPr>
            <w:r>
              <w:rPr>
                <w:rFonts w:hint="eastAsia" w:ascii="宋体" w:hAnsi="宋体"/>
                <w:szCs w:val="21"/>
              </w:rPr>
              <w:t>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276" w:type="dxa"/>
            <w:gridSpan w:val="2"/>
            <w:vMerge w:val="restart"/>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特级教师</w:t>
            </w:r>
          </w:p>
        </w:tc>
        <w:tc>
          <w:tcPr>
            <w:tcW w:w="1055" w:type="dxa"/>
            <w:gridSpan w:val="3"/>
            <w:vAlign w:val="center"/>
          </w:tcPr>
          <w:p>
            <w:pPr>
              <w:jc w:val="center"/>
              <w:rPr>
                <w:szCs w:val="21"/>
              </w:rPr>
            </w:pPr>
            <w:r>
              <w:rPr>
                <w:rFonts w:hint="eastAsia"/>
                <w:kern w:val="0"/>
                <w:szCs w:val="21"/>
              </w:rPr>
              <w:t>蔡建泉</w:t>
            </w:r>
          </w:p>
        </w:tc>
        <w:tc>
          <w:tcPr>
            <w:tcW w:w="564" w:type="dxa"/>
            <w:vAlign w:val="center"/>
          </w:tcPr>
          <w:p>
            <w:pPr>
              <w:jc w:val="center"/>
              <w:rPr>
                <w:szCs w:val="21"/>
              </w:rPr>
            </w:pPr>
            <w:r>
              <w:rPr>
                <w:rFonts w:hint="eastAsia"/>
                <w:szCs w:val="21"/>
              </w:rPr>
              <w:t>语文</w:t>
            </w:r>
          </w:p>
        </w:tc>
        <w:tc>
          <w:tcPr>
            <w:tcW w:w="979" w:type="dxa"/>
            <w:vAlign w:val="center"/>
          </w:tcPr>
          <w:p>
            <w:pPr>
              <w:jc w:val="center"/>
              <w:rPr>
                <w:szCs w:val="21"/>
              </w:rPr>
            </w:pPr>
            <w:r>
              <w:rPr>
                <w:rFonts w:hint="eastAsia"/>
                <w:szCs w:val="21"/>
              </w:rPr>
              <w:t>60</w:t>
            </w:r>
          </w:p>
        </w:tc>
        <w:tc>
          <w:tcPr>
            <w:tcW w:w="740" w:type="dxa"/>
            <w:gridSpan w:val="2"/>
            <w:vAlign w:val="center"/>
          </w:tcPr>
          <w:p>
            <w:pPr>
              <w:jc w:val="center"/>
              <w:rPr>
                <w:szCs w:val="21"/>
              </w:rPr>
            </w:pPr>
            <w:r>
              <w:rPr>
                <w:rFonts w:hint="eastAsia"/>
                <w:szCs w:val="21"/>
              </w:rPr>
              <w:t>2005</w:t>
            </w:r>
          </w:p>
        </w:tc>
        <w:tc>
          <w:tcPr>
            <w:tcW w:w="831" w:type="dxa"/>
            <w:gridSpan w:val="3"/>
            <w:vAlign w:val="center"/>
          </w:tcPr>
          <w:p>
            <w:pPr>
              <w:jc w:val="center"/>
              <w:rPr>
                <w:szCs w:val="21"/>
              </w:rPr>
            </w:pPr>
            <w:r>
              <w:rPr>
                <w:rFonts w:hint="eastAsia"/>
                <w:szCs w:val="21"/>
              </w:rPr>
              <w:t>是</w:t>
            </w:r>
          </w:p>
        </w:tc>
        <w:tc>
          <w:tcPr>
            <w:tcW w:w="1989" w:type="dxa"/>
            <w:gridSpan w:val="3"/>
            <w:vAlign w:val="center"/>
          </w:tcPr>
          <w:p>
            <w:pPr>
              <w:jc w:val="center"/>
              <w:rPr>
                <w:szCs w:val="21"/>
              </w:rPr>
            </w:pPr>
            <w:r>
              <w:rPr>
                <w:rFonts w:hint="eastAsia"/>
                <w:szCs w:val="21"/>
              </w:rPr>
              <w:t>2017年</w:t>
            </w:r>
            <w:r>
              <w:rPr>
                <w:rFonts w:hint="eastAsia"/>
                <w:szCs w:val="21"/>
                <w:lang w:val="en-US" w:eastAsia="zh-CN"/>
              </w:rPr>
              <w:t>4</w:t>
            </w:r>
            <w:r>
              <w:rPr>
                <w:rFonts w:hint="eastAsia"/>
                <w:szCs w:val="21"/>
              </w:rPr>
              <w:t>月退休</w:t>
            </w:r>
          </w:p>
        </w:tc>
        <w:tc>
          <w:tcPr>
            <w:tcW w:w="649" w:type="dxa"/>
            <w:vAlign w:val="center"/>
          </w:tcPr>
          <w:p>
            <w:pPr>
              <w:rPr>
                <w:szCs w:val="21"/>
              </w:rPr>
            </w:pPr>
          </w:p>
        </w:tc>
        <w:tc>
          <w:tcPr>
            <w:tcW w:w="661"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6" w:type="dxa"/>
            <w:gridSpan w:val="2"/>
            <w:vMerge w:val="continue"/>
            <w:vAlign w:val="center"/>
          </w:tcPr>
          <w:p>
            <w:pPr>
              <w:tabs>
                <w:tab w:val="left" w:pos="9135"/>
              </w:tabs>
              <w:adjustRightInd w:val="0"/>
              <w:snapToGrid w:val="0"/>
              <w:spacing w:line="240" w:lineRule="atLeast"/>
              <w:jc w:val="center"/>
              <w:rPr>
                <w:rFonts w:ascii="宋体" w:hAnsi="宋体"/>
                <w:szCs w:val="21"/>
              </w:rPr>
            </w:pPr>
          </w:p>
        </w:tc>
        <w:tc>
          <w:tcPr>
            <w:tcW w:w="1055" w:type="dxa"/>
            <w:gridSpan w:val="3"/>
            <w:vAlign w:val="center"/>
          </w:tcPr>
          <w:p>
            <w:pPr>
              <w:adjustRightInd w:val="0"/>
              <w:ind w:right="1381"/>
              <w:jc w:val="center"/>
              <w:textAlignment w:val="baseline"/>
              <w:rPr>
                <w:szCs w:val="21"/>
              </w:rPr>
            </w:pPr>
          </w:p>
        </w:tc>
        <w:tc>
          <w:tcPr>
            <w:tcW w:w="564" w:type="dxa"/>
            <w:vAlign w:val="center"/>
          </w:tcPr>
          <w:p>
            <w:pPr>
              <w:adjustRightInd w:val="0"/>
              <w:ind w:right="1381"/>
              <w:jc w:val="center"/>
              <w:textAlignment w:val="baseline"/>
              <w:rPr>
                <w:szCs w:val="21"/>
              </w:rPr>
            </w:pPr>
          </w:p>
        </w:tc>
        <w:tc>
          <w:tcPr>
            <w:tcW w:w="979" w:type="dxa"/>
            <w:vAlign w:val="center"/>
          </w:tcPr>
          <w:p>
            <w:pPr>
              <w:adjustRightInd w:val="0"/>
              <w:ind w:right="1381"/>
              <w:jc w:val="center"/>
              <w:textAlignment w:val="baseline"/>
              <w:rPr>
                <w:szCs w:val="21"/>
              </w:rPr>
            </w:pPr>
          </w:p>
        </w:tc>
        <w:tc>
          <w:tcPr>
            <w:tcW w:w="740" w:type="dxa"/>
            <w:gridSpan w:val="2"/>
            <w:vAlign w:val="center"/>
          </w:tcPr>
          <w:p>
            <w:pPr>
              <w:adjustRightInd w:val="0"/>
              <w:ind w:right="1381"/>
              <w:jc w:val="center"/>
              <w:textAlignment w:val="baseline"/>
              <w:rPr>
                <w:szCs w:val="21"/>
              </w:rPr>
            </w:pPr>
          </w:p>
        </w:tc>
        <w:tc>
          <w:tcPr>
            <w:tcW w:w="831" w:type="dxa"/>
            <w:gridSpan w:val="3"/>
            <w:vAlign w:val="center"/>
          </w:tcPr>
          <w:p>
            <w:pPr>
              <w:adjustRightInd w:val="0"/>
              <w:ind w:right="1381"/>
              <w:jc w:val="center"/>
              <w:textAlignment w:val="baseline"/>
              <w:rPr>
                <w:szCs w:val="21"/>
              </w:rPr>
            </w:pPr>
          </w:p>
        </w:tc>
        <w:tc>
          <w:tcPr>
            <w:tcW w:w="1989" w:type="dxa"/>
            <w:gridSpan w:val="3"/>
            <w:vAlign w:val="center"/>
          </w:tcPr>
          <w:p>
            <w:pPr>
              <w:adjustRightInd w:val="0"/>
              <w:ind w:right="1381"/>
              <w:jc w:val="center"/>
              <w:textAlignment w:val="baseline"/>
              <w:rPr>
                <w:szCs w:val="21"/>
              </w:rPr>
            </w:pPr>
          </w:p>
        </w:tc>
        <w:tc>
          <w:tcPr>
            <w:tcW w:w="649" w:type="dxa"/>
            <w:vAlign w:val="center"/>
          </w:tcPr>
          <w:p>
            <w:pPr>
              <w:adjustRightInd w:val="0"/>
              <w:ind w:right="1381"/>
              <w:jc w:val="center"/>
              <w:textAlignment w:val="baseline"/>
              <w:rPr>
                <w:szCs w:val="21"/>
              </w:rPr>
            </w:pPr>
          </w:p>
        </w:tc>
        <w:tc>
          <w:tcPr>
            <w:tcW w:w="661" w:type="dxa"/>
            <w:vAlign w:val="center"/>
          </w:tcPr>
          <w:p>
            <w:pPr>
              <w:adjustRightInd w:val="0"/>
              <w:ind w:right="1381"/>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6" w:type="dxa"/>
            <w:gridSpan w:val="2"/>
            <w:vMerge w:val="continue"/>
            <w:vAlign w:val="center"/>
          </w:tcPr>
          <w:p>
            <w:pPr>
              <w:tabs>
                <w:tab w:val="left" w:pos="9135"/>
              </w:tabs>
              <w:adjustRightInd w:val="0"/>
              <w:snapToGrid w:val="0"/>
              <w:spacing w:line="240" w:lineRule="atLeast"/>
              <w:jc w:val="center"/>
              <w:rPr>
                <w:rFonts w:ascii="宋体" w:hAnsi="宋体"/>
                <w:szCs w:val="21"/>
              </w:rPr>
            </w:pPr>
          </w:p>
        </w:tc>
        <w:tc>
          <w:tcPr>
            <w:tcW w:w="1055" w:type="dxa"/>
            <w:gridSpan w:val="3"/>
            <w:vAlign w:val="center"/>
          </w:tcPr>
          <w:p>
            <w:pPr>
              <w:adjustRightInd w:val="0"/>
              <w:ind w:right="1381"/>
              <w:jc w:val="center"/>
              <w:textAlignment w:val="baseline"/>
              <w:rPr>
                <w:szCs w:val="21"/>
              </w:rPr>
            </w:pPr>
          </w:p>
        </w:tc>
        <w:tc>
          <w:tcPr>
            <w:tcW w:w="564" w:type="dxa"/>
            <w:vAlign w:val="center"/>
          </w:tcPr>
          <w:p>
            <w:pPr>
              <w:adjustRightInd w:val="0"/>
              <w:ind w:right="1381"/>
              <w:jc w:val="center"/>
              <w:textAlignment w:val="baseline"/>
              <w:rPr>
                <w:szCs w:val="21"/>
              </w:rPr>
            </w:pPr>
          </w:p>
        </w:tc>
        <w:tc>
          <w:tcPr>
            <w:tcW w:w="979" w:type="dxa"/>
            <w:vAlign w:val="center"/>
          </w:tcPr>
          <w:p>
            <w:pPr>
              <w:adjustRightInd w:val="0"/>
              <w:ind w:right="1381"/>
              <w:jc w:val="center"/>
              <w:textAlignment w:val="baseline"/>
              <w:rPr>
                <w:szCs w:val="21"/>
              </w:rPr>
            </w:pPr>
          </w:p>
        </w:tc>
        <w:tc>
          <w:tcPr>
            <w:tcW w:w="740" w:type="dxa"/>
            <w:gridSpan w:val="2"/>
            <w:vAlign w:val="center"/>
          </w:tcPr>
          <w:p>
            <w:pPr>
              <w:adjustRightInd w:val="0"/>
              <w:ind w:right="1381"/>
              <w:jc w:val="center"/>
              <w:textAlignment w:val="baseline"/>
              <w:rPr>
                <w:szCs w:val="21"/>
              </w:rPr>
            </w:pPr>
          </w:p>
        </w:tc>
        <w:tc>
          <w:tcPr>
            <w:tcW w:w="831" w:type="dxa"/>
            <w:gridSpan w:val="3"/>
            <w:vAlign w:val="center"/>
          </w:tcPr>
          <w:p>
            <w:pPr>
              <w:adjustRightInd w:val="0"/>
              <w:ind w:right="1381"/>
              <w:jc w:val="center"/>
              <w:textAlignment w:val="baseline"/>
              <w:rPr>
                <w:szCs w:val="21"/>
              </w:rPr>
            </w:pPr>
          </w:p>
        </w:tc>
        <w:tc>
          <w:tcPr>
            <w:tcW w:w="1989" w:type="dxa"/>
            <w:gridSpan w:val="3"/>
            <w:vAlign w:val="center"/>
          </w:tcPr>
          <w:p>
            <w:pPr>
              <w:adjustRightInd w:val="0"/>
              <w:ind w:right="1381"/>
              <w:jc w:val="center"/>
              <w:textAlignment w:val="baseline"/>
              <w:rPr>
                <w:szCs w:val="21"/>
              </w:rPr>
            </w:pPr>
          </w:p>
        </w:tc>
        <w:tc>
          <w:tcPr>
            <w:tcW w:w="649" w:type="dxa"/>
            <w:vAlign w:val="center"/>
          </w:tcPr>
          <w:p>
            <w:pPr>
              <w:adjustRightInd w:val="0"/>
              <w:ind w:right="1381"/>
              <w:jc w:val="center"/>
              <w:textAlignment w:val="baseline"/>
              <w:rPr>
                <w:szCs w:val="21"/>
              </w:rPr>
            </w:pPr>
          </w:p>
        </w:tc>
        <w:tc>
          <w:tcPr>
            <w:tcW w:w="661" w:type="dxa"/>
            <w:vAlign w:val="center"/>
          </w:tcPr>
          <w:p>
            <w:pPr>
              <w:adjustRightInd w:val="0"/>
              <w:ind w:right="1381"/>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6" w:type="dxa"/>
            <w:gridSpan w:val="2"/>
            <w:vMerge w:val="restart"/>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教授级高级教师</w:t>
            </w:r>
          </w:p>
        </w:tc>
        <w:tc>
          <w:tcPr>
            <w:tcW w:w="1055" w:type="dxa"/>
            <w:gridSpan w:val="3"/>
            <w:vAlign w:val="center"/>
          </w:tcPr>
          <w:p>
            <w:pPr>
              <w:adjustRightInd w:val="0"/>
              <w:ind w:right="1381"/>
              <w:jc w:val="center"/>
              <w:textAlignment w:val="baseline"/>
              <w:rPr>
                <w:szCs w:val="21"/>
              </w:rPr>
            </w:pPr>
          </w:p>
        </w:tc>
        <w:tc>
          <w:tcPr>
            <w:tcW w:w="564" w:type="dxa"/>
            <w:vAlign w:val="center"/>
          </w:tcPr>
          <w:p>
            <w:pPr>
              <w:adjustRightInd w:val="0"/>
              <w:ind w:right="1381"/>
              <w:jc w:val="center"/>
              <w:textAlignment w:val="baseline"/>
              <w:rPr>
                <w:szCs w:val="21"/>
              </w:rPr>
            </w:pPr>
          </w:p>
        </w:tc>
        <w:tc>
          <w:tcPr>
            <w:tcW w:w="979" w:type="dxa"/>
            <w:vAlign w:val="center"/>
          </w:tcPr>
          <w:p>
            <w:pPr>
              <w:adjustRightInd w:val="0"/>
              <w:ind w:right="1381"/>
              <w:jc w:val="center"/>
              <w:textAlignment w:val="baseline"/>
              <w:rPr>
                <w:szCs w:val="21"/>
              </w:rPr>
            </w:pPr>
          </w:p>
        </w:tc>
        <w:tc>
          <w:tcPr>
            <w:tcW w:w="740" w:type="dxa"/>
            <w:gridSpan w:val="2"/>
            <w:vAlign w:val="center"/>
          </w:tcPr>
          <w:p>
            <w:pPr>
              <w:adjustRightInd w:val="0"/>
              <w:ind w:right="1381"/>
              <w:jc w:val="center"/>
              <w:textAlignment w:val="baseline"/>
              <w:rPr>
                <w:szCs w:val="21"/>
              </w:rPr>
            </w:pPr>
          </w:p>
        </w:tc>
        <w:tc>
          <w:tcPr>
            <w:tcW w:w="831" w:type="dxa"/>
            <w:gridSpan w:val="3"/>
            <w:vAlign w:val="center"/>
          </w:tcPr>
          <w:p>
            <w:pPr>
              <w:adjustRightInd w:val="0"/>
              <w:ind w:right="1381"/>
              <w:jc w:val="center"/>
              <w:textAlignment w:val="baseline"/>
              <w:rPr>
                <w:szCs w:val="21"/>
              </w:rPr>
            </w:pPr>
          </w:p>
        </w:tc>
        <w:tc>
          <w:tcPr>
            <w:tcW w:w="1989" w:type="dxa"/>
            <w:gridSpan w:val="3"/>
            <w:vAlign w:val="center"/>
          </w:tcPr>
          <w:p>
            <w:pPr>
              <w:adjustRightInd w:val="0"/>
              <w:ind w:right="1381"/>
              <w:jc w:val="center"/>
              <w:textAlignment w:val="baseline"/>
              <w:rPr>
                <w:szCs w:val="21"/>
              </w:rPr>
            </w:pPr>
          </w:p>
        </w:tc>
        <w:tc>
          <w:tcPr>
            <w:tcW w:w="649" w:type="dxa"/>
            <w:vAlign w:val="center"/>
          </w:tcPr>
          <w:p>
            <w:pPr>
              <w:adjustRightInd w:val="0"/>
              <w:ind w:right="1381"/>
              <w:jc w:val="center"/>
              <w:textAlignment w:val="baseline"/>
              <w:rPr>
                <w:szCs w:val="21"/>
              </w:rPr>
            </w:pPr>
          </w:p>
        </w:tc>
        <w:tc>
          <w:tcPr>
            <w:tcW w:w="661" w:type="dxa"/>
            <w:vAlign w:val="center"/>
          </w:tcPr>
          <w:p>
            <w:pPr>
              <w:adjustRightInd w:val="0"/>
              <w:ind w:right="1381"/>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6" w:type="dxa"/>
            <w:gridSpan w:val="2"/>
            <w:vMerge w:val="continue"/>
            <w:vAlign w:val="center"/>
          </w:tcPr>
          <w:p>
            <w:pPr>
              <w:tabs>
                <w:tab w:val="left" w:pos="9135"/>
              </w:tabs>
              <w:adjustRightInd w:val="0"/>
              <w:snapToGrid w:val="0"/>
              <w:spacing w:line="240" w:lineRule="atLeast"/>
              <w:jc w:val="center"/>
              <w:rPr>
                <w:rFonts w:ascii="宋体" w:hAnsi="宋体"/>
                <w:szCs w:val="21"/>
              </w:rPr>
            </w:pPr>
          </w:p>
        </w:tc>
        <w:tc>
          <w:tcPr>
            <w:tcW w:w="1055" w:type="dxa"/>
            <w:gridSpan w:val="3"/>
            <w:tcBorders>
              <w:bottom w:val="single" w:color="auto" w:sz="6" w:space="0"/>
            </w:tcBorders>
            <w:vAlign w:val="center"/>
          </w:tcPr>
          <w:p>
            <w:pPr>
              <w:adjustRightInd w:val="0"/>
              <w:ind w:right="1381"/>
              <w:jc w:val="center"/>
              <w:textAlignment w:val="baseline"/>
              <w:rPr>
                <w:szCs w:val="21"/>
              </w:rPr>
            </w:pPr>
          </w:p>
        </w:tc>
        <w:tc>
          <w:tcPr>
            <w:tcW w:w="564" w:type="dxa"/>
            <w:tcBorders>
              <w:bottom w:val="single" w:color="auto" w:sz="6" w:space="0"/>
            </w:tcBorders>
            <w:vAlign w:val="center"/>
          </w:tcPr>
          <w:p>
            <w:pPr>
              <w:adjustRightInd w:val="0"/>
              <w:ind w:right="1381"/>
              <w:jc w:val="center"/>
              <w:textAlignment w:val="baseline"/>
              <w:rPr>
                <w:szCs w:val="21"/>
              </w:rPr>
            </w:pPr>
          </w:p>
        </w:tc>
        <w:tc>
          <w:tcPr>
            <w:tcW w:w="979" w:type="dxa"/>
            <w:tcBorders>
              <w:bottom w:val="single" w:color="auto" w:sz="6" w:space="0"/>
            </w:tcBorders>
            <w:vAlign w:val="center"/>
          </w:tcPr>
          <w:p>
            <w:pPr>
              <w:adjustRightInd w:val="0"/>
              <w:ind w:right="1381"/>
              <w:jc w:val="center"/>
              <w:textAlignment w:val="baseline"/>
              <w:rPr>
                <w:szCs w:val="21"/>
              </w:rPr>
            </w:pPr>
          </w:p>
        </w:tc>
        <w:tc>
          <w:tcPr>
            <w:tcW w:w="740" w:type="dxa"/>
            <w:gridSpan w:val="2"/>
            <w:tcBorders>
              <w:bottom w:val="single" w:color="auto" w:sz="6" w:space="0"/>
            </w:tcBorders>
            <w:vAlign w:val="center"/>
          </w:tcPr>
          <w:p>
            <w:pPr>
              <w:adjustRightInd w:val="0"/>
              <w:ind w:right="1381"/>
              <w:jc w:val="center"/>
              <w:textAlignment w:val="baseline"/>
              <w:rPr>
                <w:szCs w:val="21"/>
              </w:rPr>
            </w:pPr>
          </w:p>
        </w:tc>
        <w:tc>
          <w:tcPr>
            <w:tcW w:w="831" w:type="dxa"/>
            <w:gridSpan w:val="3"/>
            <w:tcBorders>
              <w:bottom w:val="single" w:color="auto" w:sz="6" w:space="0"/>
            </w:tcBorders>
            <w:vAlign w:val="center"/>
          </w:tcPr>
          <w:p>
            <w:pPr>
              <w:adjustRightInd w:val="0"/>
              <w:ind w:right="1381"/>
              <w:jc w:val="center"/>
              <w:textAlignment w:val="baseline"/>
              <w:rPr>
                <w:szCs w:val="21"/>
              </w:rPr>
            </w:pPr>
          </w:p>
        </w:tc>
        <w:tc>
          <w:tcPr>
            <w:tcW w:w="1989" w:type="dxa"/>
            <w:gridSpan w:val="3"/>
            <w:tcBorders>
              <w:bottom w:val="single" w:color="auto" w:sz="6" w:space="0"/>
            </w:tcBorders>
            <w:vAlign w:val="center"/>
          </w:tcPr>
          <w:p>
            <w:pPr>
              <w:adjustRightInd w:val="0"/>
              <w:ind w:right="1381"/>
              <w:jc w:val="center"/>
              <w:textAlignment w:val="baseline"/>
              <w:rPr>
                <w:szCs w:val="21"/>
              </w:rPr>
            </w:pPr>
          </w:p>
        </w:tc>
        <w:tc>
          <w:tcPr>
            <w:tcW w:w="649" w:type="dxa"/>
            <w:tcBorders>
              <w:bottom w:val="single" w:color="auto" w:sz="6" w:space="0"/>
            </w:tcBorders>
            <w:vAlign w:val="center"/>
          </w:tcPr>
          <w:p>
            <w:pPr>
              <w:adjustRightInd w:val="0"/>
              <w:ind w:right="1381"/>
              <w:jc w:val="center"/>
              <w:textAlignment w:val="baseline"/>
              <w:rPr>
                <w:szCs w:val="21"/>
              </w:rPr>
            </w:pPr>
          </w:p>
        </w:tc>
        <w:tc>
          <w:tcPr>
            <w:tcW w:w="661" w:type="dxa"/>
            <w:tcBorders>
              <w:bottom w:val="single" w:color="auto" w:sz="6" w:space="0"/>
            </w:tcBorders>
            <w:vAlign w:val="center"/>
          </w:tcPr>
          <w:p>
            <w:pPr>
              <w:adjustRightInd w:val="0"/>
              <w:ind w:right="1381"/>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6" w:type="dxa"/>
            <w:gridSpan w:val="2"/>
            <w:vMerge w:val="restart"/>
            <w:vAlign w:val="center"/>
          </w:tcPr>
          <w:p>
            <w:pPr>
              <w:tabs>
                <w:tab w:val="left" w:pos="9135"/>
              </w:tabs>
              <w:adjustRightInd w:val="0"/>
              <w:snapToGrid w:val="0"/>
              <w:spacing w:line="240" w:lineRule="atLeast"/>
              <w:jc w:val="center"/>
              <w:rPr>
                <w:rFonts w:ascii="宋体" w:hAnsi="宋体"/>
                <w:szCs w:val="21"/>
              </w:rPr>
            </w:pPr>
            <w:r>
              <w:rPr>
                <w:rFonts w:hint="eastAsia" w:ascii="宋体" w:hAnsi="宋体"/>
                <w:szCs w:val="21"/>
              </w:rPr>
              <w:t>特级教师兼中学教授级高级教师</w:t>
            </w:r>
          </w:p>
        </w:tc>
        <w:tc>
          <w:tcPr>
            <w:tcW w:w="1055" w:type="dxa"/>
            <w:gridSpan w:val="3"/>
            <w:vAlign w:val="center"/>
          </w:tcPr>
          <w:p>
            <w:pPr>
              <w:adjustRightInd w:val="0"/>
              <w:ind w:right="1381"/>
              <w:jc w:val="center"/>
              <w:textAlignment w:val="baseline"/>
              <w:rPr>
                <w:szCs w:val="21"/>
              </w:rPr>
            </w:pPr>
          </w:p>
        </w:tc>
        <w:tc>
          <w:tcPr>
            <w:tcW w:w="564" w:type="dxa"/>
            <w:vAlign w:val="center"/>
          </w:tcPr>
          <w:p>
            <w:pPr>
              <w:adjustRightInd w:val="0"/>
              <w:ind w:right="1381"/>
              <w:jc w:val="center"/>
              <w:textAlignment w:val="baseline"/>
              <w:rPr>
                <w:szCs w:val="21"/>
              </w:rPr>
            </w:pPr>
          </w:p>
        </w:tc>
        <w:tc>
          <w:tcPr>
            <w:tcW w:w="979" w:type="dxa"/>
            <w:vAlign w:val="center"/>
          </w:tcPr>
          <w:p>
            <w:pPr>
              <w:adjustRightInd w:val="0"/>
              <w:ind w:right="1381"/>
              <w:jc w:val="center"/>
              <w:textAlignment w:val="baseline"/>
              <w:rPr>
                <w:szCs w:val="21"/>
              </w:rPr>
            </w:pPr>
          </w:p>
        </w:tc>
        <w:tc>
          <w:tcPr>
            <w:tcW w:w="740" w:type="dxa"/>
            <w:gridSpan w:val="2"/>
            <w:vAlign w:val="center"/>
          </w:tcPr>
          <w:p>
            <w:pPr>
              <w:adjustRightInd w:val="0"/>
              <w:ind w:right="1381"/>
              <w:jc w:val="center"/>
              <w:textAlignment w:val="baseline"/>
              <w:rPr>
                <w:szCs w:val="21"/>
              </w:rPr>
            </w:pPr>
          </w:p>
        </w:tc>
        <w:tc>
          <w:tcPr>
            <w:tcW w:w="831" w:type="dxa"/>
            <w:gridSpan w:val="3"/>
            <w:vAlign w:val="center"/>
          </w:tcPr>
          <w:p>
            <w:pPr>
              <w:adjustRightInd w:val="0"/>
              <w:ind w:right="1381"/>
              <w:jc w:val="center"/>
              <w:textAlignment w:val="baseline"/>
              <w:rPr>
                <w:szCs w:val="21"/>
              </w:rPr>
            </w:pPr>
          </w:p>
        </w:tc>
        <w:tc>
          <w:tcPr>
            <w:tcW w:w="1989" w:type="dxa"/>
            <w:gridSpan w:val="3"/>
            <w:vAlign w:val="center"/>
          </w:tcPr>
          <w:p>
            <w:pPr>
              <w:adjustRightInd w:val="0"/>
              <w:ind w:right="1381"/>
              <w:jc w:val="center"/>
              <w:textAlignment w:val="baseline"/>
              <w:rPr>
                <w:szCs w:val="21"/>
              </w:rPr>
            </w:pPr>
          </w:p>
        </w:tc>
        <w:tc>
          <w:tcPr>
            <w:tcW w:w="649" w:type="dxa"/>
            <w:vAlign w:val="center"/>
          </w:tcPr>
          <w:p>
            <w:pPr>
              <w:adjustRightInd w:val="0"/>
              <w:ind w:right="1381"/>
              <w:jc w:val="center"/>
              <w:textAlignment w:val="baseline"/>
              <w:rPr>
                <w:szCs w:val="21"/>
              </w:rPr>
            </w:pPr>
          </w:p>
        </w:tc>
        <w:tc>
          <w:tcPr>
            <w:tcW w:w="661" w:type="dxa"/>
            <w:vAlign w:val="center"/>
          </w:tcPr>
          <w:p>
            <w:pPr>
              <w:adjustRightInd w:val="0"/>
              <w:ind w:right="1381"/>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6" w:type="dxa"/>
            <w:gridSpan w:val="2"/>
            <w:vMerge w:val="continue"/>
            <w:vAlign w:val="center"/>
          </w:tcPr>
          <w:p>
            <w:pPr>
              <w:adjustRightInd w:val="0"/>
              <w:ind w:right="1381"/>
              <w:jc w:val="center"/>
              <w:textAlignment w:val="baseline"/>
              <w:rPr>
                <w:szCs w:val="21"/>
              </w:rPr>
            </w:pPr>
          </w:p>
        </w:tc>
        <w:tc>
          <w:tcPr>
            <w:tcW w:w="1055" w:type="dxa"/>
            <w:gridSpan w:val="3"/>
            <w:vAlign w:val="center"/>
          </w:tcPr>
          <w:p>
            <w:pPr>
              <w:adjustRightInd w:val="0"/>
              <w:ind w:right="1381"/>
              <w:jc w:val="center"/>
              <w:textAlignment w:val="baseline"/>
              <w:rPr>
                <w:szCs w:val="21"/>
              </w:rPr>
            </w:pPr>
          </w:p>
        </w:tc>
        <w:tc>
          <w:tcPr>
            <w:tcW w:w="564" w:type="dxa"/>
            <w:vAlign w:val="center"/>
          </w:tcPr>
          <w:p>
            <w:pPr>
              <w:adjustRightInd w:val="0"/>
              <w:ind w:right="1381"/>
              <w:jc w:val="center"/>
              <w:textAlignment w:val="baseline"/>
              <w:rPr>
                <w:szCs w:val="21"/>
              </w:rPr>
            </w:pPr>
          </w:p>
        </w:tc>
        <w:tc>
          <w:tcPr>
            <w:tcW w:w="979" w:type="dxa"/>
            <w:vAlign w:val="center"/>
          </w:tcPr>
          <w:p>
            <w:pPr>
              <w:adjustRightInd w:val="0"/>
              <w:ind w:right="1381"/>
              <w:jc w:val="center"/>
              <w:textAlignment w:val="baseline"/>
              <w:rPr>
                <w:szCs w:val="21"/>
              </w:rPr>
            </w:pPr>
          </w:p>
        </w:tc>
        <w:tc>
          <w:tcPr>
            <w:tcW w:w="740" w:type="dxa"/>
            <w:gridSpan w:val="2"/>
            <w:vAlign w:val="center"/>
          </w:tcPr>
          <w:p>
            <w:pPr>
              <w:adjustRightInd w:val="0"/>
              <w:ind w:right="1381"/>
              <w:jc w:val="center"/>
              <w:textAlignment w:val="baseline"/>
              <w:rPr>
                <w:szCs w:val="21"/>
              </w:rPr>
            </w:pPr>
          </w:p>
        </w:tc>
        <w:tc>
          <w:tcPr>
            <w:tcW w:w="831" w:type="dxa"/>
            <w:gridSpan w:val="3"/>
            <w:vAlign w:val="center"/>
          </w:tcPr>
          <w:p>
            <w:pPr>
              <w:adjustRightInd w:val="0"/>
              <w:ind w:right="1381"/>
              <w:jc w:val="center"/>
              <w:textAlignment w:val="baseline"/>
              <w:rPr>
                <w:szCs w:val="21"/>
              </w:rPr>
            </w:pPr>
          </w:p>
        </w:tc>
        <w:tc>
          <w:tcPr>
            <w:tcW w:w="1989" w:type="dxa"/>
            <w:gridSpan w:val="3"/>
            <w:vAlign w:val="center"/>
          </w:tcPr>
          <w:p>
            <w:pPr>
              <w:adjustRightInd w:val="0"/>
              <w:ind w:right="1381"/>
              <w:jc w:val="center"/>
              <w:textAlignment w:val="baseline"/>
              <w:rPr>
                <w:szCs w:val="21"/>
              </w:rPr>
            </w:pPr>
          </w:p>
        </w:tc>
        <w:tc>
          <w:tcPr>
            <w:tcW w:w="649" w:type="dxa"/>
            <w:vAlign w:val="center"/>
          </w:tcPr>
          <w:p>
            <w:pPr>
              <w:adjustRightInd w:val="0"/>
              <w:ind w:right="1381"/>
              <w:jc w:val="center"/>
              <w:textAlignment w:val="baseline"/>
              <w:rPr>
                <w:szCs w:val="21"/>
              </w:rPr>
            </w:pPr>
          </w:p>
        </w:tc>
        <w:tc>
          <w:tcPr>
            <w:tcW w:w="661" w:type="dxa"/>
            <w:vAlign w:val="center"/>
          </w:tcPr>
          <w:p>
            <w:pPr>
              <w:adjustRightInd w:val="0"/>
              <w:ind w:right="1381"/>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6" w:type="dxa"/>
            <w:gridSpan w:val="2"/>
            <w:vMerge w:val="continue"/>
            <w:vAlign w:val="center"/>
          </w:tcPr>
          <w:p>
            <w:pPr>
              <w:adjustRightInd w:val="0"/>
              <w:ind w:right="1381"/>
              <w:jc w:val="center"/>
              <w:textAlignment w:val="baseline"/>
              <w:rPr>
                <w:szCs w:val="21"/>
              </w:rPr>
            </w:pPr>
          </w:p>
        </w:tc>
        <w:tc>
          <w:tcPr>
            <w:tcW w:w="1055" w:type="dxa"/>
            <w:gridSpan w:val="3"/>
            <w:vAlign w:val="center"/>
          </w:tcPr>
          <w:p>
            <w:pPr>
              <w:adjustRightInd w:val="0"/>
              <w:ind w:right="1381"/>
              <w:jc w:val="center"/>
              <w:textAlignment w:val="baseline"/>
              <w:rPr>
                <w:szCs w:val="21"/>
              </w:rPr>
            </w:pPr>
          </w:p>
        </w:tc>
        <w:tc>
          <w:tcPr>
            <w:tcW w:w="564" w:type="dxa"/>
            <w:vAlign w:val="center"/>
          </w:tcPr>
          <w:p>
            <w:pPr>
              <w:adjustRightInd w:val="0"/>
              <w:ind w:right="1381"/>
              <w:jc w:val="center"/>
              <w:textAlignment w:val="baseline"/>
              <w:rPr>
                <w:szCs w:val="21"/>
              </w:rPr>
            </w:pPr>
          </w:p>
        </w:tc>
        <w:tc>
          <w:tcPr>
            <w:tcW w:w="979" w:type="dxa"/>
            <w:vAlign w:val="center"/>
          </w:tcPr>
          <w:p>
            <w:pPr>
              <w:adjustRightInd w:val="0"/>
              <w:ind w:right="1381"/>
              <w:jc w:val="center"/>
              <w:textAlignment w:val="baseline"/>
              <w:rPr>
                <w:szCs w:val="21"/>
              </w:rPr>
            </w:pPr>
          </w:p>
        </w:tc>
        <w:tc>
          <w:tcPr>
            <w:tcW w:w="740" w:type="dxa"/>
            <w:gridSpan w:val="2"/>
            <w:vAlign w:val="center"/>
          </w:tcPr>
          <w:p>
            <w:pPr>
              <w:adjustRightInd w:val="0"/>
              <w:ind w:right="1381"/>
              <w:jc w:val="center"/>
              <w:textAlignment w:val="baseline"/>
              <w:rPr>
                <w:szCs w:val="21"/>
              </w:rPr>
            </w:pPr>
          </w:p>
        </w:tc>
        <w:tc>
          <w:tcPr>
            <w:tcW w:w="831" w:type="dxa"/>
            <w:gridSpan w:val="3"/>
            <w:vAlign w:val="center"/>
          </w:tcPr>
          <w:p>
            <w:pPr>
              <w:adjustRightInd w:val="0"/>
              <w:ind w:right="1381"/>
              <w:jc w:val="center"/>
              <w:textAlignment w:val="baseline"/>
              <w:rPr>
                <w:szCs w:val="21"/>
              </w:rPr>
            </w:pPr>
          </w:p>
        </w:tc>
        <w:tc>
          <w:tcPr>
            <w:tcW w:w="1989" w:type="dxa"/>
            <w:gridSpan w:val="3"/>
            <w:vAlign w:val="center"/>
          </w:tcPr>
          <w:p>
            <w:pPr>
              <w:adjustRightInd w:val="0"/>
              <w:ind w:right="1381"/>
              <w:jc w:val="center"/>
              <w:textAlignment w:val="baseline"/>
              <w:rPr>
                <w:szCs w:val="21"/>
              </w:rPr>
            </w:pPr>
          </w:p>
        </w:tc>
        <w:tc>
          <w:tcPr>
            <w:tcW w:w="649" w:type="dxa"/>
            <w:vAlign w:val="center"/>
          </w:tcPr>
          <w:p>
            <w:pPr>
              <w:adjustRightInd w:val="0"/>
              <w:ind w:right="1381"/>
              <w:jc w:val="center"/>
              <w:textAlignment w:val="baseline"/>
              <w:rPr>
                <w:szCs w:val="21"/>
              </w:rPr>
            </w:pPr>
          </w:p>
        </w:tc>
        <w:tc>
          <w:tcPr>
            <w:tcW w:w="661" w:type="dxa"/>
            <w:vAlign w:val="center"/>
          </w:tcPr>
          <w:p>
            <w:pPr>
              <w:adjustRightInd w:val="0"/>
              <w:ind w:right="1381"/>
              <w:jc w:val="center"/>
              <w:textAlignment w:val="baseline"/>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70" w:hRule="atLeast"/>
          <w:jc w:val="center"/>
        </w:trPr>
        <w:tc>
          <w:tcPr>
            <w:tcW w:w="8744" w:type="dxa"/>
            <w:gridSpan w:val="1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市、县（市、区）骨干教师情况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70" w:hRule="atLeast"/>
          <w:jc w:val="center"/>
        </w:trPr>
        <w:tc>
          <w:tcPr>
            <w:tcW w:w="4732"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地市级骨干教师数：  25   人</w:t>
            </w:r>
          </w:p>
        </w:tc>
        <w:tc>
          <w:tcPr>
            <w:tcW w:w="401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县（市、区）骨干教师数： 7   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0" w:hRule="atLeast"/>
          <w:jc w:val="center"/>
        </w:trPr>
        <w:tc>
          <w:tcPr>
            <w:tcW w:w="5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966"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姓  名</w:t>
            </w:r>
          </w:p>
        </w:tc>
        <w:tc>
          <w:tcPr>
            <w:tcW w:w="73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  科</w:t>
            </w:r>
          </w:p>
        </w:tc>
        <w:tc>
          <w:tcPr>
            <w:tcW w:w="1736"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称谓</w:t>
            </w:r>
          </w:p>
        </w:tc>
        <w:tc>
          <w:tcPr>
            <w:tcW w:w="76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评定时间</w:t>
            </w:r>
          </w:p>
        </w:tc>
        <w:tc>
          <w:tcPr>
            <w:tcW w:w="43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85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姓  名</w:t>
            </w:r>
          </w:p>
        </w:tc>
        <w:tc>
          <w:tcPr>
            <w:tcW w:w="70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  科</w:t>
            </w:r>
          </w:p>
        </w:tc>
        <w:tc>
          <w:tcPr>
            <w:tcW w:w="135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称谓</w:t>
            </w:r>
          </w:p>
        </w:tc>
        <w:tc>
          <w:tcPr>
            <w:tcW w:w="66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评定时间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0" w:hRule="atLeast"/>
          <w:jc w:val="center"/>
        </w:trPr>
        <w:tc>
          <w:tcPr>
            <w:tcW w:w="5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96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73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6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4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35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0" w:hRule="atLeast"/>
          <w:jc w:val="center"/>
        </w:trPr>
        <w:tc>
          <w:tcPr>
            <w:tcW w:w="5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9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蔡建泉</w:t>
            </w:r>
          </w:p>
        </w:tc>
        <w:tc>
          <w:tcPr>
            <w:tcW w:w="73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语文</w:t>
            </w:r>
          </w:p>
        </w:tc>
        <w:tc>
          <w:tcPr>
            <w:tcW w:w="1736"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省特级教师</w:t>
            </w:r>
          </w:p>
        </w:tc>
        <w:tc>
          <w:tcPr>
            <w:tcW w:w="768" w:type="dxa"/>
            <w:gridSpan w:val="2"/>
            <w:tcBorders>
              <w:top w:val="nil"/>
              <w:left w:val="nil"/>
              <w:bottom w:val="single" w:color="auto" w:sz="4" w:space="0"/>
              <w:right w:val="single" w:color="auto" w:sz="4" w:space="0"/>
            </w:tcBorders>
            <w:vAlign w:val="center"/>
          </w:tcPr>
          <w:p>
            <w:pPr>
              <w:widowControl/>
              <w:jc w:val="center"/>
              <w:rPr>
                <w:kern w:val="0"/>
                <w:szCs w:val="21"/>
              </w:rPr>
            </w:pPr>
            <w:r>
              <w:rPr>
                <w:kern w:val="0"/>
                <w:szCs w:val="21"/>
              </w:rPr>
              <w:t>2005</w:t>
            </w:r>
          </w:p>
        </w:tc>
        <w:tc>
          <w:tcPr>
            <w:tcW w:w="4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85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俞秋锦</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生物</w:t>
            </w:r>
          </w:p>
        </w:tc>
        <w:tc>
          <w:tcPr>
            <w:tcW w:w="135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市教坛新秀</w:t>
            </w:r>
          </w:p>
        </w:tc>
        <w:tc>
          <w:tcPr>
            <w:tcW w:w="66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0" w:hRule="atLeast"/>
          <w:jc w:val="center"/>
        </w:trPr>
        <w:tc>
          <w:tcPr>
            <w:tcW w:w="5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96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沈纯芳</w:t>
            </w:r>
          </w:p>
        </w:tc>
        <w:tc>
          <w:tcPr>
            <w:tcW w:w="7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历史</w:t>
            </w:r>
          </w:p>
        </w:tc>
        <w:tc>
          <w:tcPr>
            <w:tcW w:w="173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市学科带头人</w:t>
            </w:r>
          </w:p>
        </w:tc>
        <w:tc>
          <w:tcPr>
            <w:tcW w:w="768" w:type="dxa"/>
            <w:gridSpan w:val="2"/>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2006</w:t>
            </w:r>
          </w:p>
        </w:tc>
        <w:tc>
          <w:tcPr>
            <w:tcW w:w="4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85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刘超</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美术</w:t>
            </w:r>
          </w:p>
        </w:tc>
        <w:tc>
          <w:tcPr>
            <w:tcW w:w="135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市教坛新秀</w:t>
            </w:r>
          </w:p>
        </w:tc>
        <w:tc>
          <w:tcPr>
            <w:tcW w:w="66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0" w:hRule="atLeast"/>
          <w:jc w:val="center"/>
        </w:trPr>
        <w:tc>
          <w:tcPr>
            <w:tcW w:w="5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96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谈国庆</w:t>
            </w:r>
          </w:p>
        </w:tc>
        <w:tc>
          <w:tcPr>
            <w:tcW w:w="7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生物</w:t>
            </w:r>
          </w:p>
        </w:tc>
        <w:tc>
          <w:tcPr>
            <w:tcW w:w="173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市学科带头人</w:t>
            </w:r>
          </w:p>
        </w:tc>
        <w:tc>
          <w:tcPr>
            <w:tcW w:w="768" w:type="dxa"/>
            <w:gridSpan w:val="2"/>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2009</w:t>
            </w:r>
          </w:p>
        </w:tc>
        <w:tc>
          <w:tcPr>
            <w:tcW w:w="4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85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张桔</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美术</w:t>
            </w:r>
          </w:p>
        </w:tc>
        <w:tc>
          <w:tcPr>
            <w:tcW w:w="135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市教坛新秀</w:t>
            </w:r>
          </w:p>
        </w:tc>
        <w:tc>
          <w:tcPr>
            <w:tcW w:w="661"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0" w:hRule="atLeast"/>
          <w:jc w:val="center"/>
        </w:trPr>
        <w:tc>
          <w:tcPr>
            <w:tcW w:w="5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96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宣建英</w:t>
            </w:r>
          </w:p>
        </w:tc>
        <w:tc>
          <w:tcPr>
            <w:tcW w:w="7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政治</w:t>
            </w:r>
          </w:p>
        </w:tc>
        <w:tc>
          <w:tcPr>
            <w:tcW w:w="173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市学科带头人</w:t>
            </w:r>
          </w:p>
        </w:tc>
        <w:tc>
          <w:tcPr>
            <w:tcW w:w="768" w:type="dxa"/>
            <w:gridSpan w:val="2"/>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2006</w:t>
            </w:r>
          </w:p>
        </w:tc>
        <w:tc>
          <w:tcPr>
            <w:tcW w:w="4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85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周奕</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35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市教学能手</w:t>
            </w:r>
          </w:p>
        </w:tc>
        <w:tc>
          <w:tcPr>
            <w:tcW w:w="661"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2009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0" w:hRule="atLeast"/>
          <w:jc w:val="center"/>
        </w:trPr>
        <w:tc>
          <w:tcPr>
            <w:tcW w:w="5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96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陈建平</w:t>
            </w:r>
          </w:p>
        </w:tc>
        <w:tc>
          <w:tcPr>
            <w:tcW w:w="7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政治</w:t>
            </w:r>
          </w:p>
        </w:tc>
        <w:tc>
          <w:tcPr>
            <w:tcW w:w="173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市学科带头人</w:t>
            </w:r>
          </w:p>
        </w:tc>
        <w:tc>
          <w:tcPr>
            <w:tcW w:w="768" w:type="dxa"/>
            <w:gridSpan w:val="2"/>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2004</w:t>
            </w:r>
          </w:p>
        </w:tc>
        <w:tc>
          <w:tcPr>
            <w:tcW w:w="4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85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蔡文杰</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历史</w:t>
            </w:r>
          </w:p>
        </w:tc>
        <w:tc>
          <w:tcPr>
            <w:tcW w:w="135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市教学能手</w:t>
            </w:r>
          </w:p>
        </w:tc>
        <w:tc>
          <w:tcPr>
            <w:tcW w:w="661"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2009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0" w:hRule="atLeast"/>
          <w:jc w:val="center"/>
        </w:trPr>
        <w:tc>
          <w:tcPr>
            <w:tcW w:w="5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96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童勇</w:t>
            </w:r>
          </w:p>
        </w:tc>
        <w:tc>
          <w:tcPr>
            <w:tcW w:w="7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地理</w:t>
            </w:r>
          </w:p>
        </w:tc>
        <w:tc>
          <w:tcPr>
            <w:tcW w:w="173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市学科带头人</w:t>
            </w:r>
          </w:p>
        </w:tc>
        <w:tc>
          <w:tcPr>
            <w:tcW w:w="76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2006</w:t>
            </w:r>
          </w:p>
        </w:tc>
        <w:tc>
          <w:tcPr>
            <w:tcW w:w="4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85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顾涛</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化学</w:t>
            </w:r>
          </w:p>
        </w:tc>
        <w:tc>
          <w:tcPr>
            <w:tcW w:w="135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市教学能手</w:t>
            </w:r>
          </w:p>
        </w:tc>
        <w:tc>
          <w:tcPr>
            <w:tcW w:w="661"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2009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0" w:hRule="atLeast"/>
          <w:jc w:val="center"/>
        </w:trPr>
        <w:tc>
          <w:tcPr>
            <w:tcW w:w="5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9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赵洁</w:t>
            </w:r>
          </w:p>
        </w:tc>
        <w:tc>
          <w:tcPr>
            <w:tcW w:w="73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语文</w:t>
            </w:r>
          </w:p>
        </w:tc>
        <w:tc>
          <w:tcPr>
            <w:tcW w:w="1736"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市特级后备人才</w:t>
            </w:r>
          </w:p>
        </w:tc>
        <w:tc>
          <w:tcPr>
            <w:tcW w:w="768" w:type="dxa"/>
            <w:gridSpan w:val="2"/>
            <w:tcBorders>
              <w:top w:val="nil"/>
              <w:left w:val="nil"/>
              <w:bottom w:val="single" w:color="auto" w:sz="4" w:space="0"/>
              <w:right w:val="single" w:color="auto" w:sz="4" w:space="0"/>
            </w:tcBorders>
            <w:vAlign w:val="center"/>
          </w:tcPr>
          <w:p>
            <w:pPr>
              <w:widowControl/>
              <w:jc w:val="center"/>
              <w:rPr>
                <w:kern w:val="0"/>
                <w:szCs w:val="21"/>
              </w:rPr>
            </w:pPr>
            <w:r>
              <w:rPr>
                <w:kern w:val="0"/>
                <w:szCs w:val="21"/>
              </w:rPr>
              <w:t>2016</w:t>
            </w:r>
          </w:p>
        </w:tc>
        <w:tc>
          <w:tcPr>
            <w:tcW w:w="4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85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郭淑慧</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英语</w:t>
            </w:r>
          </w:p>
        </w:tc>
        <w:tc>
          <w:tcPr>
            <w:tcW w:w="135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市教学能手</w:t>
            </w:r>
          </w:p>
        </w:tc>
        <w:tc>
          <w:tcPr>
            <w:tcW w:w="661"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2009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jc w:val="center"/>
        </w:trPr>
        <w:tc>
          <w:tcPr>
            <w:tcW w:w="5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96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刘晏昌</w:t>
            </w:r>
          </w:p>
        </w:tc>
        <w:tc>
          <w:tcPr>
            <w:tcW w:w="7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语文</w:t>
            </w:r>
          </w:p>
        </w:tc>
        <w:tc>
          <w:tcPr>
            <w:tcW w:w="173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市骨干教师</w:t>
            </w:r>
          </w:p>
        </w:tc>
        <w:tc>
          <w:tcPr>
            <w:tcW w:w="768" w:type="dxa"/>
            <w:gridSpan w:val="2"/>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2012</w:t>
            </w:r>
          </w:p>
        </w:tc>
        <w:tc>
          <w:tcPr>
            <w:tcW w:w="4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85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谈晓旻</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政治</w:t>
            </w:r>
          </w:p>
        </w:tc>
        <w:tc>
          <w:tcPr>
            <w:tcW w:w="135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市教学能手</w:t>
            </w:r>
          </w:p>
          <w:p>
            <w:pPr>
              <w:widowControl/>
              <w:jc w:val="center"/>
              <w:rPr>
                <w:rFonts w:ascii="宋体" w:hAnsi="宋体" w:cs="宋体"/>
                <w:color w:val="000000"/>
                <w:kern w:val="0"/>
                <w:szCs w:val="21"/>
              </w:rPr>
            </w:pPr>
            <w:r>
              <w:rPr>
                <w:rFonts w:hint="eastAsia" w:ascii="宋体" w:hAnsi="宋体" w:cs="宋体"/>
                <w:color w:val="000000"/>
                <w:kern w:val="0"/>
                <w:szCs w:val="21"/>
              </w:rPr>
              <w:t>区学带</w:t>
            </w:r>
          </w:p>
        </w:tc>
        <w:tc>
          <w:tcPr>
            <w:tcW w:w="661"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2005</w:t>
            </w:r>
          </w:p>
          <w:p>
            <w:pPr>
              <w:widowControl/>
              <w:jc w:val="center"/>
              <w:rPr>
                <w:color w:val="000000"/>
                <w:kern w:val="0"/>
                <w:szCs w:val="21"/>
              </w:rPr>
            </w:pPr>
            <w:r>
              <w:rPr>
                <w:color w:val="000000"/>
                <w:kern w:val="0"/>
                <w:szCs w:val="21"/>
              </w:rPr>
              <w:t>2014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0" w:hRule="atLeast"/>
          <w:jc w:val="center"/>
        </w:trPr>
        <w:tc>
          <w:tcPr>
            <w:tcW w:w="5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96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高曼</w:t>
            </w:r>
          </w:p>
        </w:tc>
        <w:tc>
          <w:tcPr>
            <w:tcW w:w="7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体育</w:t>
            </w:r>
          </w:p>
        </w:tc>
        <w:tc>
          <w:tcPr>
            <w:tcW w:w="173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市骨干教师</w:t>
            </w:r>
          </w:p>
        </w:tc>
        <w:tc>
          <w:tcPr>
            <w:tcW w:w="768" w:type="dxa"/>
            <w:gridSpan w:val="2"/>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2004</w:t>
            </w:r>
          </w:p>
        </w:tc>
        <w:tc>
          <w:tcPr>
            <w:tcW w:w="4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85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崔勇</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历史</w:t>
            </w:r>
          </w:p>
        </w:tc>
        <w:tc>
          <w:tcPr>
            <w:tcW w:w="135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市教学能手</w:t>
            </w:r>
          </w:p>
          <w:p>
            <w:pPr>
              <w:widowControl/>
              <w:jc w:val="center"/>
              <w:rPr>
                <w:rFonts w:ascii="宋体" w:hAnsi="宋体" w:cs="宋体"/>
                <w:color w:val="000000"/>
                <w:kern w:val="0"/>
                <w:szCs w:val="21"/>
              </w:rPr>
            </w:pPr>
            <w:r>
              <w:rPr>
                <w:rFonts w:hint="eastAsia" w:ascii="宋体" w:hAnsi="宋体" w:cs="宋体"/>
                <w:color w:val="000000"/>
                <w:kern w:val="0"/>
                <w:szCs w:val="21"/>
              </w:rPr>
              <w:t>区学带</w:t>
            </w:r>
          </w:p>
        </w:tc>
        <w:tc>
          <w:tcPr>
            <w:tcW w:w="661" w:type="dxa"/>
            <w:tcBorders>
              <w:top w:val="nil"/>
              <w:left w:val="nil"/>
              <w:bottom w:val="single" w:color="auto" w:sz="4" w:space="0"/>
              <w:right w:val="single" w:color="auto" w:sz="4" w:space="0"/>
            </w:tcBorders>
            <w:vAlign w:val="center"/>
          </w:tcPr>
          <w:p>
            <w:pPr>
              <w:widowControl/>
              <w:jc w:val="center"/>
              <w:rPr>
                <w:rFonts w:ascii="宋体" w:hAnsi="宋体"/>
                <w:color w:val="000000"/>
                <w:kern w:val="0"/>
                <w:szCs w:val="21"/>
              </w:rPr>
            </w:pPr>
            <w:r>
              <w:rPr>
                <w:color w:val="000000"/>
                <w:kern w:val="0"/>
                <w:szCs w:val="21"/>
              </w:rPr>
              <w:t>2007</w:t>
            </w:r>
          </w:p>
          <w:p>
            <w:pPr>
              <w:widowControl/>
              <w:jc w:val="center"/>
              <w:rPr>
                <w:color w:val="000000"/>
                <w:kern w:val="0"/>
                <w:szCs w:val="21"/>
              </w:rPr>
            </w:pPr>
            <w:r>
              <w:rPr>
                <w:color w:val="000000"/>
                <w:kern w:val="0"/>
                <w:szCs w:val="21"/>
              </w:rPr>
              <w:t>2014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0" w:hRule="atLeast"/>
          <w:jc w:val="center"/>
        </w:trPr>
        <w:tc>
          <w:tcPr>
            <w:tcW w:w="5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96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邹国强</w:t>
            </w:r>
          </w:p>
        </w:tc>
        <w:tc>
          <w:tcPr>
            <w:tcW w:w="7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73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市骨干教师</w:t>
            </w:r>
          </w:p>
        </w:tc>
        <w:tc>
          <w:tcPr>
            <w:tcW w:w="768" w:type="dxa"/>
            <w:gridSpan w:val="2"/>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2009</w:t>
            </w:r>
          </w:p>
        </w:tc>
        <w:tc>
          <w:tcPr>
            <w:tcW w:w="4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85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杨小波</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英语</w:t>
            </w:r>
          </w:p>
        </w:tc>
        <w:tc>
          <w:tcPr>
            <w:tcW w:w="135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区学带</w:t>
            </w:r>
          </w:p>
        </w:tc>
        <w:tc>
          <w:tcPr>
            <w:tcW w:w="661"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2009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0" w:hRule="atLeast"/>
          <w:jc w:val="center"/>
        </w:trPr>
        <w:tc>
          <w:tcPr>
            <w:tcW w:w="5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96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王坚</w:t>
            </w:r>
          </w:p>
        </w:tc>
        <w:tc>
          <w:tcPr>
            <w:tcW w:w="7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化学</w:t>
            </w:r>
          </w:p>
        </w:tc>
        <w:tc>
          <w:tcPr>
            <w:tcW w:w="173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市骨干教师</w:t>
            </w:r>
          </w:p>
        </w:tc>
        <w:tc>
          <w:tcPr>
            <w:tcW w:w="768" w:type="dxa"/>
            <w:gridSpan w:val="2"/>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2009</w:t>
            </w:r>
          </w:p>
        </w:tc>
        <w:tc>
          <w:tcPr>
            <w:tcW w:w="4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85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孟震宇</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35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区学带</w:t>
            </w:r>
          </w:p>
        </w:tc>
        <w:tc>
          <w:tcPr>
            <w:tcW w:w="661"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0" w:hRule="atLeast"/>
          <w:jc w:val="center"/>
        </w:trPr>
        <w:tc>
          <w:tcPr>
            <w:tcW w:w="5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96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黄亚红</w:t>
            </w:r>
          </w:p>
        </w:tc>
        <w:tc>
          <w:tcPr>
            <w:tcW w:w="7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地理</w:t>
            </w:r>
          </w:p>
        </w:tc>
        <w:tc>
          <w:tcPr>
            <w:tcW w:w="173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市骨干教师</w:t>
            </w:r>
          </w:p>
        </w:tc>
        <w:tc>
          <w:tcPr>
            <w:tcW w:w="768" w:type="dxa"/>
            <w:gridSpan w:val="2"/>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2004</w:t>
            </w:r>
          </w:p>
        </w:tc>
        <w:tc>
          <w:tcPr>
            <w:tcW w:w="4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85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张静凯</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英语</w:t>
            </w:r>
          </w:p>
        </w:tc>
        <w:tc>
          <w:tcPr>
            <w:tcW w:w="135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区骨干教师</w:t>
            </w:r>
          </w:p>
        </w:tc>
        <w:tc>
          <w:tcPr>
            <w:tcW w:w="661"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0" w:hRule="atLeast"/>
          <w:jc w:val="center"/>
        </w:trPr>
        <w:tc>
          <w:tcPr>
            <w:tcW w:w="5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96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许光英</w:t>
            </w:r>
          </w:p>
        </w:tc>
        <w:tc>
          <w:tcPr>
            <w:tcW w:w="7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政治</w:t>
            </w:r>
          </w:p>
        </w:tc>
        <w:tc>
          <w:tcPr>
            <w:tcW w:w="173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市骨干教师</w:t>
            </w:r>
          </w:p>
        </w:tc>
        <w:tc>
          <w:tcPr>
            <w:tcW w:w="76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2016</w:t>
            </w:r>
          </w:p>
        </w:tc>
        <w:tc>
          <w:tcPr>
            <w:tcW w:w="4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85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黄包罗</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物理</w:t>
            </w:r>
          </w:p>
        </w:tc>
        <w:tc>
          <w:tcPr>
            <w:tcW w:w="135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区骨干教师</w:t>
            </w:r>
          </w:p>
        </w:tc>
        <w:tc>
          <w:tcPr>
            <w:tcW w:w="661"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2014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0" w:hRule="atLeast"/>
          <w:jc w:val="center"/>
        </w:trPr>
        <w:tc>
          <w:tcPr>
            <w:tcW w:w="5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9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严桃梨</w:t>
            </w:r>
          </w:p>
        </w:tc>
        <w:tc>
          <w:tcPr>
            <w:tcW w:w="73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美术</w:t>
            </w:r>
          </w:p>
        </w:tc>
        <w:tc>
          <w:tcPr>
            <w:tcW w:w="1736"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市骨干教师</w:t>
            </w:r>
          </w:p>
        </w:tc>
        <w:tc>
          <w:tcPr>
            <w:tcW w:w="768" w:type="dxa"/>
            <w:gridSpan w:val="2"/>
            <w:tcBorders>
              <w:top w:val="nil"/>
              <w:left w:val="nil"/>
              <w:bottom w:val="single" w:color="auto" w:sz="4" w:space="0"/>
              <w:right w:val="single" w:color="auto" w:sz="4" w:space="0"/>
            </w:tcBorders>
            <w:vAlign w:val="center"/>
          </w:tcPr>
          <w:p>
            <w:pPr>
              <w:widowControl/>
              <w:jc w:val="center"/>
              <w:rPr>
                <w:kern w:val="0"/>
                <w:szCs w:val="21"/>
              </w:rPr>
            </w:pPr>
            <w:r>
              <w:rPr>
                <w:kern w:val="0"/>
                <w:szCs w:val="21"/>
              </w:rPr>
              <w:t>2014</w:t>
            </w:r>
          </w:p>
        </w:tc>
        <w:tc>
          <w:tcPr>
            <w:tcW w:w="4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85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郭劲华</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信息</w:t>
            </w:r>
          </w:p>
        </w:tc>
        <w:tc>
          <w:tcPr>
            <w:tcW w:w="135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区骨干教师</w:t>
            </w:r>
          </w:p>
        </w:tc>
        <w:tc>
          <w:tcPr>
            <w:tcW w:w="661"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1" w:hRule="atLeast"/>
          <w:jc w:val="center"/>
        </w:trPr>
        <w:tc>
          <w:tcPr>
            <w:tcW w:w="5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96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虞赛玉</w:t>
            </w:r>
          </w:p>
        </w:tc>
        <w:tc>
          <w:tcPr>
            <w:tcW w:w="7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美术</w:t>
            </w:r>
          </w:p>
        </w:tc>
        <w:tc>
          <w:tcPr>
            <w:tcW w:w="173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市骨干教师</w:t>
            </w:r>
          </w:p>
        </w:tc>
        <w:tc>
          <w:tcPr>
            <w:tcW w:w="76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2016</w:t>
            </w:r>
          </w:p>
        </w:tc>
        <w:tc>
          <w:tcPr>
            <w:tcW w:w="4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85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吴燕</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美术</w:t>
            </w:r>
          </w:p>
        </w:tc>
        <w:tc>
          <w:tcPr>
            <w:tcW w:w="135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区骨干教师</w:t>
            </w:r>
          </w:p>
        </w:tc>
        <w:tc>
          <w:tcPr>
            <w:tcW w:w="661"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2014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0" w:hRule="atLeast"/>
          <w:jc w:val="center"/>
        </w:trPr>
        <w:tc>
          <w:tcPr>
            <w:tcW w:w="5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96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谈燕华</w:t>
            </w:r>
          </w:p>
        </w:tc>
        <w:tc>
          <w:tcPr>
            <w:tcW w:w="7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数学</w:t>
            </w:r>
          </w:p>
        </w:tc>
        <w:tc>
          <w:tcPr>
            <w:tcW w:w="173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市教坛新秀</w:t>
            </w:r>
          </w:p>
        </w:tc>
        <w:tc>
          <w:tcPr>
            <w:tcW w:w="768" w:type="dxa"/>
            <w:gridSpan w:val="2"/>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2009</w:t>
            </w:r>
          </w:p>
        </w:tc>
        <w:tc>
          <w:tcPr>
            <w:tcW w:w="4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85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严志才</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历史</w:t>
            </w:r>
          </w:p>
        </w:tc>
        <w:tc>
          <w:tcPr>
            <w:tcW w:w="135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区骨干教师</w:t>
            </w:r>
          </w:p>
        </w:tc>
        <w:tc>
          <w:tcPr>
            <w:tcW w:w="661"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2008</w:t>
            </w:r>
          </w:p>
        </w:tc>
      </w:tr>
    </w:tbl>
    <w:p>
      <w:pPr>
        <w:snapToGrid w:val="0"/>
        <w:rPr>
          <w:rFonts w:ascii="宋体" w:hAnsi="宋体"/>
          <w:szCs w:val="21"/>
        </w:rPr>
      </w:pPr>
      <w:r>
        <w:rPr>
          <w:rFonts w:hint="eastAsia" w:ascii="宋体" w:hAnsi="宋体"/>
          <w:szCs w:val="21"/>
        </w:rPr>
        <w:t>注：各类名、特、优、骨干教师等称谓的教师，不重复计数，就高不就低。特级教师或中学教授级高级教师或特级兼中学教授级高级教师可计入地市级学科带头人数。地市级、县（市、区）级骨干教师指教育行政部门明文认定的学科带头人、教学骨干、教学能手、教坛新秀等称谓的教师。</w:t>
      </w:r>
    </w:p>
    <w:p>
      <w:pPr>
        <w:tabs>
          <w:tab w:val="left" w:pos="0"/>
        </w:tabs>
        <w:spacing w:line="560" w:lineRule="exact"/>
        <w:ind w:right="560"/>
        <w:rPr>
          <w:rFonts w:ascii="宋体"/>
          <w:b/>
          <w:sz w:val="28"/>
          <w:szCs w:val="28"/>
        </w:rPr>
      </w:pPr>
      <w:r>
        <w:rPr>
          <w:rFonts w:hint="eastAsia" w:ascii="宋体"/>
          <w:b/>
          <w:sz w:val="28"/>
          <w:szCs w:val="28"/>
        </w:rPr>
        <w:t xml:space="preserve">8.学校总课表、作息时间表 </w:t>
      </w:r>
    </w:p>
    <w:tbl>
      <w:tblPr>
        <w:tblStyle w:val="14"/>
        <w:tblW w:w="8982" w:type="dxa"/>
        <w:tblInd w:w="91" w:type="dxa"/>
        <w:tblLayout w:type="fixed"/>
        <w:tblCellMar>
          <w:top w:w="0" w:type="dxa"/>
          <w:left w:w="108" w:type="dxa"/>
          <w:bottom w:w="0" w:type="dxa"/>
          <w:right w:w="108" w:type="dxa"/>
        </w:tblCellMar>
      </w:tblPr>
      <w:tblGrid>
        <w:gridCol w:w="679"/>
        <w:gridCol w:w="19"/>
        <w:gridCol w:w="659"/>
        <w:gridCol w:w="39"/>
        <w:gridCol w:w="820"/>
        <w:gridCol w:w="18"/>
        <w:gridCol w:w="662"/>
        <w:gridCol w:w="141"/>
        <w:gridCol w:w="679"/>
        <w:gridCol w:w="23"/>
        <w:gridCol w:w="779"/>
        <w:gridCol w:w="18"/>
        <w:gridCol w:w="661"/>
        <w:gridCol w:w="59"/>
        <w:gridCol w:w="622"/>
        <w:gridCol w:w="87"/>
        <w:gridCol w:w="715"/>
        <w:gridCol w:w="745"/>
        <w:gridCol w:w="105"/>
        <w:gridCol w:w="624"/>
        <w:gridCol w:w="85"/>
        <w:gridCol w:w="709"/>
        <w:gridCol w:w="34"/>
      </w:tblGrid>
      <w:tr>
        <w:tblPrEx>
          <w:tblLayout w:type="fixed"/>
          <w:tblCellMar>
            <w:top w:w="0" w:type="dxa"/>
            <w:left w:w="108" w:type="dxa"/>
            <w:bottom w:w="0" w:type="dxa"/>
            <w:right w:w="108" w:type="dxa"/>
          </w:tblCellMar>
        </w:tblPrEx>
        <w:trPr>
          <w:trHeight w:val="225" w:hRule="atLeast"/>
        </w:trPr>
        <w:tc>
          <w:tcPr>
            <w:tcW w:w="8982" w:type="dxa"/>
            <w:gridSpan w:val="2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高一年级总课表</w:t>
            </w:r>
          </w:p>
        </w:tc>
      </w:tr>
      <w:tr>
        <w:tblPrEx>
          <w:tblLayout w:type="fixed"/>
          <w:tblCellMar>
            <w:top w:w="0" w:type="dxa"/>
            <w:left w:w="108" w:type="dxa"/>
            <w:bottom w:w="0" w:type="dxa"/>
            <w:right w:w="108" w:type="dxa"/>
          </w:tblCellMar>
        </w:tblPrEx>
        <w:trPr>
          <w:trHeight w:val="225" w:hRule="atLeast"/>
        </w:trPr>
        <w:tc>
          <w:tcPr>
            <w:tcW w:w="679"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星期</w:t>
            </w:r>
          </w:p>
        </w:tc>
        <w:tc>
          <w:tcPr>
            <w:tcW w:w="678" w:type="dxa"/>
            <w:gridSpan w:val="2"/>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color w:val="000000"/>
                <w:kern w:val="0"/>
                <w:sz w:val="16"/>
                <w:szCs w:val="16"/>
              </w:rPr>
            </w:pPr>
            <w:r>
              <w:rPr>
                <w:rFonts w:hint="eastAsia" w:ascii="宋体" w:hAnsi="宋体" w:cs="宋体"/>
                <w:color w:val="000000"/>
                <w:kern w:val="0"/>
                <w:sz w:val="16"/>
                <w:szCs w:val="16"/>
              </w:rPr>
              <w:t>节次</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1班</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2班</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3班</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4班</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5班</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6班</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7班</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8班</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9班</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10班</w:t>
            </w:r>
          </w:p>
        </w:tc>
      </w:tr>
      <w:tr>
        <w:tblPrEx>
          <w:tblLayout w:type="fixed"/>
          <w:tblCellMar>
            <w:top w:w="0" w:type="dxa"/>
            <w:left w:w="108" w:type="dxa"/>
            <w:bottom w:w="0" w:type="dxa"/>
            <w:right w:w="108" w:type="dxa"/>
          </w:tblCellMar>
        </w:tblPrEx>
        <w:trPr>
          <w:trHeight w:val="225" w:hRule="atLeast"/>
        </w:trPr>
        <w:tc>
          <w:tcPr>
            <w:tcW w:w="679" w:type="dxa"/>
            <w:vMerge w:val="restart"/>
            <w:tcBorders>
              <w:top w:val="nil"/>
              <w:left w:val="single" w:color="auto" w:sz="8" w:space="0"/>
              <w:bottom w:val="single" w:color="000000" w:sz="8" w:space="0"/>
              <w:right w:val="single" w:color="auto" w:sz="8" w:space="0"/>
            </w:tcBorders>
            <w:textDirection w:val="tbRlV"/>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星期一</w:t>
            </w: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1</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r>
      <w:tr>
        <w:tblPrEx>
          <w:tblLayout w:type="fixed"/>
          <w:tblCellMar>
            <w:top w:w="0" w:type="dxa"/>
            <w:left w:w="108" w:type="dxa"/>
            <w:bottom w:w="0" w:type="dxa"/>
            <w:right w:w="108" w:type="dxa"/>
          </w:tblCellMar>
        </w:tblPrEx>
        <w:trPr>
          <w:trHeight w:val="225"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2</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r>
      <w:tr>
        <w:tblPrEx>
          <w:tblLayout w:type="fixed"/>
          <w:tblCellMar>
            <w:top w:w="0" w:type="dxa"/>
            <w:left w:w="108" w:type="dxa"/>
            <w:bottom w:w="0" w:type="dxa"/>
            <w:right w:w="108" w:type="dxa"/>
          </w:tblCellMar>
        </w:tblPrEx>
        <w:trPr>
          <w:trHeight w:val="225"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3</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r>
      <w:tr>
        <w:tblPrEx>
          <w:tblLayout w:type="fixed"/>
          <w:tblCellMar>
            <w:top w:w="0" w:type="dxa"/>
            <w:left w:w="108" w:type="dxa"/>
            <w:bottom w:w="0" w:type="dxa"/>
            <w:right w:w="108" w:type="dxa"/>
          </w:tblCellMar>
        </w:tblPrEx>
        <w:trPr>
          <w:trHeight w:val="225"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4</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r>
      <w:tr>
        <w:tblPrEx>
          <w:tblLayout w:type="fixed"/>
          <w:tblCellMar>
            <w:top w:w="0" w:type="dxa"/>
            <w:left w:w="108" w:type="dxa"/>
            <w:bottom w:w="0" w:type="dxa"/>
            <w:right w:w="108" w:type="dxa"/>
          </w:tblCellMar>
        </w:tblPrEx>
        <w:trPr>
          <w:trHeight w:val="225"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5</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r>
      <w:tr>
        <w:tblPrEx>
          <w:tblLayout w:type="fixed"/>
          <w:tblCellMar>
            <w:top w:w="0" w:type="dxa"/>
            <w:left w:w="108" w:type="dxa"/>
            <w:bottom w:w="0" w:type="dxa"/>
            <w:right w:w="108" w:type="dxa"/>
          </w:tblCellMar>
        </w:tblPrEx>
        <w:trPr>
          <w:trHeight w:val="225"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6</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r>
      <w:tr>
        <w:tblPrEx>
          <w:tblLayout w:type="fixed"/>
          <w:tblCellMar>
            <w:top w:w="0" w:type="dxa"/>
            <w:left w:w="108" w:type="dxa"/>
            <w:bottom w:w="0" w:type="dxa"/>
            <w:right w:w="108" w:type="dxa"/>
          </w:tblCellMar>
        </w:tblPrEx>
        <w:trPr>
          <w:trHeight w:val="225"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7</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校本1</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通技</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校本1</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r>
      <w:tr>
        <w:tblPrEx>
          <w:tblLayout w:type="fixed"/>
          <w:tblCellMar>
            <w:top w:w="0" w:type="dxa"/>
            <w:left w:w="108" w:type="dxa"/>
            <w:bottom w:w="0" w:type="dxa"/>
            <w:right w:w="108" w:type="dxa"/>
          </w:tblCellMar>
        </w:tblPrEx>
        <w:trPr>
          <w:trHeight w:val="225"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8</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班会</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班会</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班会</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班会</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班会</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班会</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通技</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r>
      <w:tr>
        <w:tblPrEx>
          <w:tblLayout w:type="fixed"/>
          <w:tblCellMar>
            <w:top w:w="0" w:type="dxa"/>
            <w:left w:w="108" w:type="dxa"/>
            <w:bottom w:w="0" w:type="dxa"/>
            <w:right w:w="108" w:type="dxa"/>
          </w:tblCellMar>
        </w:tblPrEx>
        <w:trPr>
          <w:trHeight w:val="227" w:hRule="atLeast"/>
        </w:trPr>
        <w:tc>
          <w:tcPr>
            <w:tcW w:w="679" w:type="dxa"/>
            <w:vMerge w:val="restart"/>
            <w:tcBorders>
              <w:top w:val="nil"/>
              <w:left w:val="single" w:color="auto" w:sz="8" w:space="0"/>
              <w:bottom w:val="single" w:color="000000" w:sz="8" w:space="0"/>
              <w:right w:val="single" w:color="auto" w:sz="8" w:space="0"/>
            </w:tcBorders>
            <w:textDirection w:val="tbRlV"/>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星期二</w:t>
            </w: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1</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2</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3</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校本1</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4</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5</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校本2</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校本2</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校本2</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校本2</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校本2</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校本2</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校本2</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校本2</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校本2</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校本2</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6</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7</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校本1</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通技</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8</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r>
      <w:tr>
        <w:tblPrEx>
          <w:tblLayout w:type="fixed"/>
          <w:tblCellMar>
            <w:top w:w="0" w:type="dxa"/>
            <w:left w:w="108" w:type="dxa"/>
            <w:bottom w:w="0" w:type="dxa"/>
            <w:right w:w="108" w:type="dxa"/>
          </w:tblCellMar>
        </w:tblPrEx>
        <w:trPr>
          <w:trHeight w:val="227" w:hRule="atLeast"/>
        </w:trPr>
        <w:tc>
          <w:tcPr>
            <w:tcW w:w="679" w:type="dxa"/>
            <w:vMerge w:val="restart"/>
            <w:tcBorders>
              <w:top w:val="nil"/>
              <w:left w:val="single" w:color="auto" w:sz="8" w:space="0"/>
              <w:bottom w:val="single" w:color="000000" w:sz="8" w:space="0"/>
              <w:right w:val="single" w:color="auto" w:sz="8" w:space="0"/>
            </w:tcBorders>
            <w:textDirection w:val="tbRlV"/>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星期三</w:t>
            </w: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1</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2</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3</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4</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5</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6</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7</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通技</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8</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自习</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自习</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自习</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自习</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自习</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r>
      <w:tr>
        <w:tblPrEx>
          <w:tblLayout w:type="fixed"/>
          <w:tblCellMar>
            <w:top w:w="0" w:type="dxa"/>
            <w:left w:w="108" w:type="dxa"/>
            <w:bottom w:w="0" w:type="dxa"/>
            <w:right w:w="108" w:type="dxa"/>
          </w:tblCellMar>
        </w:tblPrEx>
        <w:trPr>
          <w:trHeight w:val="227" w:hRule="atLeast"/>
        </w:trPr>
        <w:tc>
          <w:tcPr>
            <w:tcW w:w="679" w:type="dxa"/>
            <w:vMerge w:val="restart"/>
            <w:tcBorders>
              <w:top w:val="nil"/>
              <w:left w:val="single" w:color="auto" w:sz="8" w:space="0"/>
              <w:bottom w:val="single" w:color="000000" w:sz="8" w:space="0"/>
              <w:right w:val="single" w:color="auto" w:sz="8" w:space="0"/>
            </w:tcBorders>
            <w:textDirection w:val="tbRlV"/>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星期四</w:t>
            </w: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1</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2</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3</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校本1</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4</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通技</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校本1</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5</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6</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通技</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7</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8</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校本1</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自习</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校本1</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通技</w:t>
            </w:r>
          </w:p>
        </w:tc>
      </w:tr>
      <w:tr>
        <w:tblPrEx>
          <w:tblLayout w:type="fixed"/>
          <w:tblCellMar>
            <w:top w:w="0" w:type="dxa"/>
            <w:left w:w="108" w:type="dxa"/>
            <w:bottom w:w="0" w:type="dxa"/>
            <w:right w:w="108" w:type="dxa"/>
          </w:tblCellMar>
        </w:tblPrEx>
        <w:trPr>
          <w:trHeight w:val="227" w:hRule="atLeast"/>
        </w:trPr>
        <w:tc>
          <w:tcPr>
            <w:tcW w:w="679" w:type="dxa"/>
            <w:vMerge w:val="restart"/>
            <w:tcBorders>
              <w:top w:val="nil"/>
              <w:left w:val="single" w:color="auto" w:sz="8" w:space="0"/>
              <w:bottom w:val="single" w:color="000000" w:sz="8" w:space="0"/>
              <w:right w:val="single" w:color="auto" w:sz="8" w:space="0"/>
            </w:tcBorders>
            <w:textDirection w:val="tbRlV"/>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星期五</w:t>
            </w: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1</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2</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3</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4</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5</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通技</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6</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通技</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校本1</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7</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校本1</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通技</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r>
      <w:tr>
        <w:tblPrEx>
          <w:tblLayout w:type="fixed"/>
          <w:tblCellMar>
            <w:top w:w="0" w:type="dxa"/>
            <w:left w:w="108" w:type="dxa"/>
            <w:bottom w:w="0" w:type="dxa"/>
            <w:right w:w="108" w:type="dxa"/>
          </w:tblCellMar>
        </w:tblPrEx>
        <w:trPr>
          <w:trHeight w:val="227" w:hRule="atLeast"/>
        </w:trPr>
        <w:tc>
          <w:tcPr>
            <w:tcW w:w="679" w:type="dxa"/>
            <w:vMerge w:val="continue"/>
            <w:tcBorders>
              <w:top w:val="nil"/>
              <w:left w:val="single" w:color="auto" w:sz="8" w:space="0"/>
              <w:bottom w:val="single" w:color="000000" w:sz="8" w:space="0"/>
              <w:right w:val="single" w:color="auto" w:sz="8" w:space="0"/>
            </w:tcBorders>
            <w:vAlign w:val="center"/>
          </w:tcPr>
          <w:p>
            <w:pPr>
              <w:widowControl/>
              <w:spacing w:line="260" w:lineRule="exact"/>
              <w:jc w:val="left"/>
              <w:rPr>
                <w:rFonts w:ascii="Courier New" w:hAnsi="Courier New" w:cs="Courier New"/>
                <w:color w:val="000000"/>
                <w:kern w:val="0"/>
                <w:sz w:val="16"/>
                <w:szCs w:val="16"/>
              </w:rPr>
            </w:pPr>
          </w:p>
        </w:tc>
        <w:tc>
          <w:tcPr>
            <w:tcW w:w="678"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8</w:t>
            </w:r>
          </w:p>
        </w:tc>
        <w:tc>
          <w:tcPr>
            <w:tcW w:w="877"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803"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7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779"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67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681"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802"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745" w:type="dxa"/>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729" w:type="dxa"/>
            <w:gridSpan w:val="2"/>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828" w:type="dxa"/>
            <w:gridSpan w:val="3"/>
            <w:tcBorders>
              <w:top w:val="nil"/>
              <w:left w:val="nil"/>
              <w:bottom w:val="single" w:color="auto" w:sz="8" w:space="0"/>
              <w:right w:val="single" w:color="auto" w:sz="8" w:space="0"/>
            </w:tcBorders>
            <w:vAlign w:val="center"/>
          </w:tcPr>
          <w:p>
            <w:pPr>
              <w:widowControl/>
              <w:spacing w:line="260" w:lineRule="exact"/>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r>
      <w:tr>
        <w:tblPrEx>
          <w:tblLayout w:type="fixed"/>
          <w:tblCellMar>
            <w:top w:w="0" w:type="dxa"/>
            <w:left w:w="108" w:type="dxa"/>
            <w:bottom w:w="0" w:type="dxa"/>
            <w:right w:w="108" w:type="dxa"/>
          </w:tblCellMar>
        </w:tblPrEx>
        <w:trPr>
          <w:gridAfter w:val="1"/>
          <w:wAfter w:w="34" w:type="dxa"/>
          <w:trHeight w:val="270" w:hRule="atLeast"/>
        </w:trPr>
        <w:tc>
          <w:tcPr>
            <w:tcW w:w="8948" w:type="dxa"/>
            <w:gridSpan w:val="2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16"/>
                <w:szCs w:val="16"/>
              </w:rPr>
            </w:pPr>
          </w:p>
          <w:p>
            <w:pPr>
              <w:widowControl/>
              <w:jc w:val="center"/>
              <w:rPr>
                <w:rFonts w:ascii="宋体" w:hAnsi="宋体" w:cs="宋体"/>
                <w:b/>
                <w:color w:val="000000"/>
                <w:kern w:val="0"/>
                <w:sz w:val="16"/>
                <w:szCs w:val="16"/>
              </w:rPr>
            </w:pPr>
          </w:p>
          <w:p>
            <w:pPr>
              <w:widowControl/>
              <w:jc w:val="center"/>
              <w:rPr>
                <w:rFonts w:ascii="宋体" w:hAnsi="宋体" w:cs="宋体"/>
                <w:b/>
                <w:color w:val="000000"/>
                <w:kern w:val="0"/>
                <w:sz w:val="16"/>
                <w:szCs w:val="16"/>
              </w:rPr>
            </w:pPr>
          </w:p>
          <w:p>
            <w:pPr>
              <w:widowControl/>
              <w:jc w:val="center"/>
              <w:rPr>
                <w:rFonts w:ascii="宋体" w:hAnsi="宋体" w:cs="宋体"/>
                <w:b/>
                <w:color w:val="000000"/>
                <w:kern w:val="0"/>
                <w:sz w:val="16"/>
                <w:szCs w:val="16"/>
              </w:rPr>
            </w:pPr>
          </w:p>
          <w:p>
            <w:pPr>
              <w:widowControl/>
              <w:jc w:val="center"/>
              <w:rPr>
                <w:rFonts w:ascii="宋体" w:hAnsi="宋体" w:cs="宋体"/>
                <w:b/>
                <w:color w:val="000000"/>
                <w:kern w:val="0"/>
                <w:sz w:val="16"/>
                <w:szCs w:val="16"/>
              </w:rPr>
            </w:pPr>
          </w:p>
          <w:p>
            <w:pPr>
              <w:widowControl/>
              <w:jc w:val="center"/>
              <w:rPr>
                <w:rFonts w:ascii="宋体" w:hAnsi="宋体" w:cs="宋体"/>
                <w:b/>
                <w:color w:val="000000"/>
                <w:kern w:val="0"/>
                <w:sz w:val="16"/>
                <w:szCs w:val="16"/>
              </w:rPr>
            </w:pPr>
          </w:p>
          <w:p>
            <w:pPr>
              <w:widowControl/>
              <w:jc w:val="center"/>
              <w:rPr>
                <w:rFonts w:ascii="宋体" w:hAnsi="宋体" w:cs="宋体"/>
                <w:b/>
                <w:color w:val="000000"/>
                <w:kern w:val="0"/>
                <w:sz w:val="16"/>
                <w:szCs w:val="16"/>
              </w:rPr>
            </w:pPr>
            <w:r>
              <w:rPr>
                <w:rFonts w:hint="eastAsia" w:ascii="宋体" w:hAnsi="宋体" w:cs="宋体"/>
                <w:b/>
                <w:color w:val="000000"/>
                <w:kern w:val="0"/>
                <w:sz w:val="16"/>
                <w:szCs w:val="16"/>
              </w:rPr>
              <w:t>高二年级总课表</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tcBorders>
              <w:top w:val="nil"/>
              <w:left w:val="single" w:color="auto" w:sz="4" w:space="0"/>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星期</w:t>
            </w: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节次</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1班</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2班</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3班</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4班</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5班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6班</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7班</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8班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9班</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10班</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星期一</w:t>
            </w: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1</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2</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3</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通技</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4</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通技</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5</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6</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通技</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7</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校本1</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通技</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8</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班会</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班会</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班会</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校本1</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通技</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星期二</w:t>
            </w: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1</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2</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3</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4</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校本1</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5</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6</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校本1</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7</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地政选</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通技</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8</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星期三</w:t>
            </w: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1</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2</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3</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4</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5</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校本1</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6</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7</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地政必</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通技</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8</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自习</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自习</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自习</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通技</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校本1</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星期四</w:t>
            </w: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1</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地政选</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2</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3</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4</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校本1</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5</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6</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通技</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校本1</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7</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通技</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校本1</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8</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星期五</w:t>
            </w: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1</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2</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化学</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3</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生物</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4</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信息</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地理</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5</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校本1</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6</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7</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地政必</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8</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自习</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自习</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自习</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r>
      <w:tr>
        <w:tblPrEx>
          <w:tblLayout w:type="fixed"/>
          <w:tblCellMar>
            <w:top w:w="0" w:type="dxa"/>
            <w:left w:w="108" w:type="dxa"/>
            <w:bottom w:w="0" w:type="dxa"/>
            <w:right w:w="108" w:type="dxa"/>
          </w:tblCellMar>
        </w:tblPrEx>
        <w:trPr>
          <w:gridAfter w:val="1"/>
          <w:wAfter w:w="34" w:type="dxa"/>
          <w:trHeight w:val="270" w:hRule="atLeast"/>
        </w:trPr>
        <w:tc>
          <w:tcPr>
            <w:tcW w:w="8948" w:type="dxa"/>
            <w:gridSpan w:val="2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16"/>
                <w:szCs w:val="16"/>
              </w:rPr>
            </w:pPr>
          </w:p>
          <w:p>
            <w:pPr>
              <w:widowControl/>
              <w:jc w:val="center"/>
              <w:rPr>
                <w:rFonts w:ascii="宋体" w:hAnsi="宋体" w:cs="宋体"/>
                <w:b/>
                <w:color w:val="000000"/>
                <w:kern w:val="0"/>
                <w:sz w:val="16"/>
                <w:szCs w:val="16"/>
              </w:rPr>
            </w:pPr>
          </w:p>
          <w:p>
            <w:pPr>
              <w:widowControl/>
              <w:jc w:val="center"/>
              <w:rPr>
                <w:rFonts w:ascii="宋体" w:hAnsi="宋体" w:cs="宋体"/>
                <w:b/>
                <w:color w:val="000000"/>
                <w:kern w:val="0"/>
                <w:sz w:val="16"/>
                <w:szCs w:val="16"/>
              </w:rPr>
            </w:pPr>
          </w:p>
          <w:p>
            <w:pPr>
              <w:widowControl/>
              <w:jc w:val="center"/>
              <w:rPr>
                <w:rFonts w:ascii="宋体" w:hAnsi="宋体" w:cs="宋体"/>
                <w:b/>
                <w:color w:val="000000"/>
                <w:kern w:val="0"/>
                <w:sz w:val="16"/>
                <w:szCs w:val="16"/>
              </w:rPr>
            </w:pPr>
          </w:p>
          <w:p>
            <w:pPr>
              <w:widowControl/>
              <w:jc w:val="center"/>
              <w:rPr>
                <w:rFonts w:ascii="宋体" w:hAnsi="宋体" w:cs="宋体"/>
                <w:b/>
                <w:color w:val="000000"/>
                <w:kern w:val="0"/>
                <w:sz w:val="16"/>
                <w:szCs w:val="16"/>
              </w:rPr>
            </w:pPr>
          </w:p>
          <w:p>
            <w:pPr>
              <w:widowControl/>
              <w:jc w:val="center"/>
              <w:rPr>
                <w:rFonts w:ascii="宋体" w:hAnsi="宋体" w:cs="宋体"/>
                <w:b/>
                <w:color w:val="000000"/>
                <w:kern w:val="0"/>
                <w:sz w:val="16"/>
                <w:szCs w:val="16"/>
              </w:rPr>
            </w:pPr>
          </w:p>
          <w:p>
            <w:pPr>
              <w:widowControl/>
              <w:jc w:val="center"/>
              <w:rPr>
                <w:rFonts w:ascii="宋体" w:hAnsi="宋体" w:cs="宋体"/>
                <w:b/>
                <w:color w:val="000000"/>
                <w:kern w:val="0"/>
                <w:sz w:val="16"/>
                <w:szCs w:val="16"/>
              </w:rPr>
            </w:pPr>
          </w:p>
          <w:p>
            <w:pPr>
              <w:widowControl/>
              <w:jc w:val="center"/>
              <w:rPr>
                <w:rFonts w:ascii="宋体" w:hAnsi="宋体" w:cs="宋体"/>
                <w:b/>
                <w:color w:val="000000"/>
                <w:kern w:val="0"/>
                <w:sz w:val="16"/>
                <w:szCs w:val="16"/>
              </w:rPr>
            </w:pPr>
          </w:p>
          <w:p>
            <w:pPr>
              <w:widowControl/>
              <w:jc w:val="center"/>
              <w:rPr>
                <w:rFonts w:ascii="宋体" w:hAnsi="宋体" w:cs="宋体"/>
                <w:b/>
                <w:color w:val="000000"/>
                <w:kern w:val="0"/>
                <w:sz w:val="16"/>
                <w:szCs w:val="16"/>
              </w:rPr>
            </w:pPr>
          </w:p>
          <w:p>
            <w:pPr>
              <w:widowControl/>
              <w:jc w:val="center"/>
              <w:rPr>
                <w:rFonts w:ascii="宋体" w:hAnsi="宋体" w:cs="宋体"/>
                <w:b/>
                <w:color w:val="000000"/>
                <w:kern w:val="0"/>
                <w:sz w:val="16"/>
                <w:szCs w:val="16"/>
              </w:rPr>
            </w:pPr>
            <w:r>
              <w:rPr>
                <w:rFonts w:hint="eastAsia" w:ascii="宋体" w:hAnsi="宋体" w:cs="宋体"/>
                <w:b/>
                <w:color w:val="000000"/>
                <w:kern w:val="0"/>
                <w:sz w:val="16"/>
                <w:szCs w:val="16"/>
              </w:rPr>
              <w:t>高三年级总课表</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tcBorders>
              <w:top w:val="nil"/>
              <w:left w:val="single" w:color="auto" w:sz="4" w:space="0"/>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星期</w:t>
            </w: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节次</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1班</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2班</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3班</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4班</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5班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6班</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7班</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8班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9班</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10班</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星期一</w:t>
            </w: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1</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2</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3</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4</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生地</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5</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6</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7</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自习</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自习</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8</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班会</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班会</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班会</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班会</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星期二</w:t>
            </w: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1</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2</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3</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4</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5</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6</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7</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8</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自习</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自习</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自习</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星期三</w:t>
            </w: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1</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2</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3</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生地</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4</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5</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6</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7</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8</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星期四</w:t>
            </w: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1</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研究3</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2</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3</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4</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生地</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研究2</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研究1</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5</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物理</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6</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7</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8</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自习</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自习</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自习</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星期五</w:t>
            </w: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1</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2</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生地</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3</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政治</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4</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历史</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英语</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5</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6</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7</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数学</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语文</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体育</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r>
        <w:tblPrEx>
          <w:tblLayout w:type="fixed"/>
          <w:tblCellMar>
            <w:top w:w="0" w:type="dxa"/>
            <w:left w:w="108" w:type="dxa"/>
            <w:bottom w:w="0" w:type="dxa"/>
            <w:right w:w="108" w:type="dxa"/>
          </w:tblCellMar>
        </w:tblPrEx>
        <w:trPr>
          <w:gridAfter w:val="1"/>
          <w:wAfter w:w="34" w:type="dxa"/>
          <w:trHeight w:val="270" w:hRule="atLeast"/>
        </w:trPr>
        <w:tc>
          <w:tcPr>
            <w:tcW w:w="6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cs="Courier New"/>
                <w:color w:val="000000"/>
                <w:kern w:val="0"/>
                <w:sz w:val="16"/>
                <w:szCs w:val="16"/>
              </w:rPr>
            </w:pPr>
          </w:p>
        </w:tc>
        <w:tc>
          <w:tcPr>
            <w:tcW w:w="698"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8</w:t>
            </w:r>
          </w:p>
        </w:tc>
        <w:tc>
          <w:tcPr>
            <w:tcW w:w="820"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68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8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820" w:type="dxa"/>
            <w:gridSpan w:val="3"/>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2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15"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850"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美术</w:t>
            </w:r>
          </w:p>
        </w:tc>
        <w:tc>
          <w:tcPr>
            <w:tcW w:w="709" w:type="dxa"/>
            <w:gridSpan w:val="2"/>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课外</w:t>
            </w:r>
          </w:p>
        </w:tc>
        <w:tc>
          <w:tcPr>
            <w:tcW w:w="709" w:type="dxa"/>
            <w:tcBorders>
              <w:top w:val="nil"/>
              <w:left w:val="nil"/>
              <w:bottom w:val="single" w:color="auto" w:sz="4" w:space="0"/>
              <w:right w:val="single" w:color="auto" w:sz="4" w:space="0"/>
            </w:tcBorders>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音乐</w:t>
            </w:r>
          </w:p>
        </w:tc>
      </w:tr>
    </w:tbl>
    <w:p/>
    <w:p>
      <w:pPr>
        <w:jc w:val="center"/>
        <w:rPr>
          <w:rFonts w:ascii="黑体" w:hAnsi="新宋体" w:eastAsia="黑体"/>
          <w:b/>
          <w:spacing w:val="50"/>
          <w:w w:val="90"/>
          <w:sz w:val="28"/>
          <w:szCs w:val="21"/>
        </w:rPr>
      </w:pPr>
    </w:p>
    <w:p>
      <w:pPr>
        <w:jc w:val="center"/>
        <w:rPr>
          <w:rFonts w:ascii="黑体" w:hAnsi="新宋体" w:eastAsia="黑体"/>
          <w:b/>
          <w:spacing w:val="50"/>
          <w:w w:val="90"/>
          <w:sz w:val="28"/>
          <w:szCs w:val="21"/>
        </w:rPr>
      </w:pPr>
    </w:p>
    <w:p>
      <w:pPr>
        <w:jc w:val="center"/>
        <w:rPr>
          <w:rFonts w:ascii="黑体" w:hAnsi="新宋体" w:eastAsia="黑体"/>
          <w:b/>
          <w:spacing w:val="50"/>
          <w:w w:val="90"/>
          <w:sz w:val="28"/>
          <w:szCs w:val="21"/>
        </w:rPr>
      </w:pPr>
      <w:r>
        <w:rPr>
          <w:rFonts w:hint="eastAsia" w:ascii="黑体" w:hAnsi="新宋体" w:eastAsia="黑体"/>
          <w:b/>
          <w:spacing w:val="50"/>
          <w:w w:val="90"/>
          <w:sz w:val="28"/>
          <w:szCs w:val="21"/>
        </w:rPr>
        <w:t>洛阳高级中学春季作息时间表</w:t>
      </w:r>
    </w:p>
    <w:p>
      <w:pPr>
        <w:tabs>
          <w:tab w:val="center" w:pos="4536"/>
          <w:tab w:val="right" w:pos="9072"/>
        </w:tabs>
        <w:jc w:val="left"/>
        <w:rPr>
          <w:rFonts w:ascii="黑体" w:hAnsi="新宋体" w:eastAsia="黑体"/>
          <w:b/>
          <w:spacing w:val="50"/>
          <w:w w:val="90"/>
          <w:szCs w:val="21"/>
        </w:rPr>
      </w:pPr>
    </w:p>
    <w:tbl>
      <w:tblPr>
        <w:tblStyle w:val="14"/>
        <w:tblW w:w="8007" w:type="dxa"/>
        <w:jc w:val="center"/>
        <w:tblInd w:w="21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39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4053" w:type="dxa"/>
          </w:tcPr>
          <w:p>
            <w:pPr>
              <w:jc w:val="center"/>
              <w:rPr>
                <w:rFonts w:eastAsia="黑体"/>
                <w:szCs w:val="21"/>
              </w:rPr>
            </w:pPr>
            <w:bookmarkStart w:id="0" w:name="OLE_LINK1"/>
            <w:bookmarkStart w:id="1" w:name="OLE_LINK2"/>
            <w:r>
              <w:rPr>
                <w:rFonts w:hint="eastAsia" w:eastAsia="黑体"/>
                <w:szCs w:val="21"/>
              </w:rPr>
              <w:t>上    午</w:t>
            </w:r>
          </w:p>
        </w:tc>
        <w:tc>
          <w:tcPr>
            <w:tcW w:w="3954" w:type="dxa"/>
          </w:tcPr>
          <w:p>
            <w:pPr>
              <w:jc w:val="center"/>
              <w:rPr>
                <w:rFonts w:eastAsia="黑体"/>
                <w:szCs w:val="21"/>
              </w:rPr>
            </w:pPr>
            <w:r>
              <w:rPr>
                <w:rFonts w:hint="eastAsia" w:eastAsia="黑体"/>
                <w:szCs w:val="21"/>
              </w:rPr>
              <w:t>下    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2" w:hRule="atLeast"/>
          <w:jc w:val="center"/>
        </w:trPr>
        <w:tc>
          <w:tcPr>
            <w:tcW w:w="4053" w:type="dxa"/>
          </w:tcPr>
          <w:p>
            <w:pPr>
              <w:spacing w:line="800" w:lineRule="exact"/>
              <w:ind w:left="210" w:leftChars="100"/>
              <w:rPr>
                <w:szCs w:val="21"/>
              </w:rPr>
            </w:pPr>
            <w:r>
              <w:rPr>
                <w:rFonts w:hint="eastAsia"/>
                <w:szCs w:val="21"/>
              </w:rPr>
              <w:t>起    床  6:05</w:t>
            </w:r>
          </w:p>
          <w:p>
            <w:pPr>
              <w:spacing w:line="800" w:lineRule="exact"/>
              <w:ind w:left="210" w:leftChars="100"/>
              <w:rPr>
                <w:szCs w:val="21"/>
              </w:rPr>
            </w:pPr>
            <w:r>
              <w:rPr>
                <w:rFonts w:hint="eastAsia"/>
                <w:szCs w:val="21"/>
              </w:rPr>
              <w:t>早    餐  6:35</w:t>
            </w:r>
          </w:p>
          <w:p>
            <w:pPr>
              <w:spacing w:line="800" w:lineRule="exact"/>
              <w:ind w:left="210" w:leftChars="100" w:right="210" w:rightChars="100"/>
              <w:rPr>
                <w:szCs w:val="21"/>
              </w:rPr>
            </w:pPr>
            <w:r>
              <w:rPr>
                <w:rFonts w:hint="eastAsia"/>
                <w:szCs w:val="21"/>
              </w:rPr>
              <w:t>第一节课  7:35</w:t>
            </w:r>
            <w:r>
              <w:rPr>
                <w:szCs w:val="21"/>
              </w:rPr>
              <w:t>—</w:t>
            </w:r>
            <w:r>
              <w:rPr>
                <w:rFonts w:hint="eastAsia"/>
                <w:szCs w:val="21"/>
              </w:rPr>
              <w:t>8:20</w:t>
            </w:r>
          </w:p>
          <w:p>
            <w:pPr>
              <w:spacing w:line="800" w:lineRule="exact"/>
              <w:ind w:left="210" w:leftChars="100" w:right="210" w:rightChars="100"/>
              <w:rPr>
                <w:szCs w:val="21"/>
              </w:rPr>
            </w:pPr>
            <w:r>
              <w:rPr>
                <w:rFonts w:hint="eastAsia"/>
                <w:szCs w:val="21"/>
              </w:rPr>
              <w:t>第二节课  8:30</w:t>
            </w:r>
            <w:r>
              <w:rPr>
                <w:szCs w:val="21"/>
              </w:rPr>
              <w:t>—9</w:t>
            </w:r>
            <w:r>
              <w:rPr>
                <w:rFonts w:hint="eastAsia"/>
                <w:szCs w:val="21"/>
              </w:rPr>
              <w:t>:15</w:t>
            </w:r>
          </w:p>
          <w:p>
            <w:pPr>
              <w:spacing w:line="800" w:lineRule="exact"/>
              <w:ind w:left="210" w:leftChars="100" w:right="210" w:rightChars="100"/>
              <w:rPr>
                <w:szCs w:val="21"/>
              </w:rPr>
            </w:pPr>
            <w:r>
              <w:rPr>
                <w:rFonts w:hint="eastAsia"/>
                <w:szCs w:val="21"/>
              </w:rPr>
              <w:t>大 课 间  9:15</w:t>
            </w:r>
            <w:r>
              <w:rPr>
                <w:szCs w:val="21"/>
              </w:rPr>
              <w:t>—</w:t>
            </w:r>
            <w:r>
              <w:rPr>
                <w:rFonts w:hint="eastAsia"/>
                <w:szCs w:val="21"/>
              </w:rPr>
              <w:t>9:45</w:t>
            </w:r>
          </w:p>
          <w:p>
            <w:pPr>
              <w:spacing w:line="800" w:lineRule="exact"/>
              <w:ind w:left="210" w:leftChars="100" w:right="210" w:rightChars="100"/>
              <w:rPr>
                <w:szCs w:val="21"/>
              </w:rPr>
            </w:pPr>
            <w:r>
              <w:rPr>
                <w:rFonts w:hint="eastAsia"/>
                <w:szCs w:val="21"/>
              </w:rPr>
              <w:t>第三节课  9:45</w:t>
            </w:r>
            <w:r>
              <w:rPr>
                <w:szCs w:val="21"/>
              </w:rPr>
              <w:t>—10</w:t>
            </w:r>
            <w:r>
              <w:rPr>
                <w:rFonts w:hint="eastAsia"/>
                <w:szCs w:val="21"/>
              </w:rPr>
              <w:t>:30</w:t>
            </w:r>
          </w:p>
          <w:p>
            <w:pPr>
              <w:spacing w:line="800" w:lineRule="exact"/>
              <w:ind w:left="210" w:leftChars="100"/>
              <w:rPr>
                <w:szCs w:val="21"/>
              </w:rPr>
            </w:pPr>
            <w:r>
              <w:rPr>
                <w:rFonts w:hint="eastAsia"/>
                <w:szCs w:val="21"/>
              </w:rPr>
              <w:t>眼保健操  10:40</w:t>
            </w:r>
            <w:r>
              <w:rPr>
                <w:szCs w:val="21"/>
              </w:rPr>
              <w:t>—</w:t>
            </w:r>
            <w:r>
              <w:rPr>
                <w:rFonts w:hint="eastAsia"/>
                <w:szCs w:val="21"/>
              </w:rPr>
              <w:t>10:45</w:t>
            </w:r>
          </w:p>
          <w:p>
            <w:pPr>
              <w:spacing w:line="800" w:lineRule="exact"/>
              <w:ind w:left="210" w:leftChars="100"/>
              <w:rPr>
                <w:szCs w:val="21"/>
              </w:rPr>
            </w:pPr>
            <w:r>
              <w:rPr>
                <w:rFonts w:hint="eastAsia"/>
                <w:szCs w:val="21"/>
              </w:rPr>
              <w:t>第四节课  10:45</w:t>
            </w:r>
            <w:r>
              <w:rPr>
                <w:szCs w:val="21"/>
              </w:rPr>
              <w:t>—</w:t>
            </w:r>
            <w:r>
              <w:rPr>
                <w:rFonts w:hint="eastAsia"/>
                <w:szCs w:val="21"/>
              </w:rPr>
              <w:t>11:30</w:t>
            </w:r>
          </w:p>
          <w:p>
            <w:pPr>
              <w:spacing w:line="800" w:lineRule="exact"/>
              <w:ind w:left="210" w:leftChars="100" w:right="210" w:rightChars="100"/>
              <w:rPr>
                <w:szCs w:val="21"/>
              </w:rPr>
            </w:pPr>
            <w:r>
              <w:rPr>
                <w:rFonts w:hint="eastAsia"/>
                <w:szCs w:val="21"/>
              </w:rPr>
              <w:t>中    饭  11:30</w:t>
            </w:r>
          </w:p>
        </w:tc>
        <w:tc>
          <w:tcPr>
            <w:tcW w:w="3954" w:type="dxa"/>
          </w:tcPr>
          <w:p>
            <w:pPr>
              <w:spacing w:line="800" w:lineRule="exact"/>
              <w:ind w:left="210" w:leftChars="100" w:right="210" w:rightChars="100"/>
              <w:rPr>
                <w:szCs w:val="21"/>
              </w:rPr>
            </w:pPr>
            <w:r>
              <w:rPr>
                <w:rFonts w:hint="eastAsia"/>
                <w:szCs w:val="21"/>
              </w:rPr>
              <w:t>午    休  12:00</w:t>
            </w:r>
            <w:r>
              <w:rPr>
                <w:szCs w:val="21"/>
              </w:rPr>
              <w:t>—</w:t>
            </w:r>
            <w:r>
              <w:rPr>
                <w:rFonts w:hint="eastAsia"/>
                <w:szCs w:val="21"/>
              </w:rPr>
              <w:t>13:05</w:t>
            </w:r>
          </w:p>
          <w:p>
            <w:pPr>
              <w:spacing w:line="800" w:lineRule="exact"/>
              <w:ind w:left="210" w:leftChars="100" w:right="210" w:rightChars="100"/>
              <w:rPr>
                <w:szCs w:val="21"/>
              </w:rPr>
            </w:pPr>
            <w:r>
              <w:rPr>
                <w:rFonts w:hint="eastAsia"/>
                <w:szCs w:val="21"/>
              </w:rPr>
              <w:t>第五节课  13:15</w:t>
            </w:r>
            <w:r>
              <w:rPr>
                <w:szCs w:val="21"/>
              </w:rPr>
              <w:t>—</w:t>
            </w:r>
            <w:r>
              <w:rPr>
                <w:rFonts w:hint="eastAsia"/>
                <w:szCs w:val="21"/>
              </w:rPr>
              <w:t>14:00</w:t>
            </w:r>
          </w:p>
          <w:p>
            <w:pPr>
              <w:spacing w:line="800" w:lineRule="exact"/>
              <w:ind w:left="210" w:leftChars="100" w:right="210" w:rightChars="100"/>
              <w:rPr>
                <w:szCs w:val="21"/>
              </w:rPr>
            </w:pPr>
            <w:r>
              <w:rPr>
                <w:rFonts w:hint="eastAsia"/>
                <w:szCs w:val="21"/>
              </w:rPr>
              <w:t>眼保健操  14:10</w:t>
            </w:r>
            <w:r>
              <w:rPr>
                <w:szCs w:val="21"/>
              </w:rPr>
              <w:t>—</w:t>
            </w:r>
            <w:r>
              <w:rPr>
                <w:rFonts w:hint="eastAsia"/>
                <w:szCs w:val="21"/>
              </w:rPr>
              <w:t>14:15</w:t>
            </w:r>
          </w:p>
          <w:p>
            <w:pPr>
              <w:spacing w:line="800" w:lineRule="exact"/>
              <w:ind w:left="210" w:leftChars="100" w:right="210" w:rightChars="100"/>
              <w:rPr>
                <w:szCs w:val="21"/>
              </w:rPr>
            </w:pPr>
            <w:r>
              <w:rPr>
                <w:rFonts w:hint="eastAsia"/>
                <w:szCs w:val="21"/>
              </w:rPr>
              <w:t>第六节课  14:15</w:t>
            </w:r>
            <w:r>
              <w:rPr>
                <w:szCs w:val="21"/>
              </w:rPr>
              <w:t>—</w:t>
            </w:r>
            <w:r>
              <w:rPr>
                <w:rFonts w:hint="eastAsia"/>
                <w:szCs w:val="21"/>
              </w:rPr>
              <w:t>15:00</w:t>
            </w:r>
          </w:p>
          <w:p>
            <w:pPr>
              <w:spacing w:line="800" w:lineRule="exact"/>
              <w:ind w:left="210" w:leftChars="100" w:right="210" w:rightChars="100"/>
              <w:rPr>
                <w:szCs w:val="21"/>
              </w:rPr>
            </w:pPr>
            <w:r>
              <w:rPr>
                <w:rFonts w:hint="eastAsia"/>
                <w:szCs w:val="21"/>
              </w:rPr>
              <w:t>第七节课  15:10</w:t>
            </w:r>
            <w:r>
              <w:rPr>
                <w:szCs w:val="21"/>
              </w:rPr>
              <w:t>—</w:t>
            </w:r>
            <w:r>
              <w:rPr>
                <w:rFonts w:hint="eastAsia"/>
                <w:szCs w:val="21"/>
              </w:rPr>
              <w:t>15:55</w:t>
            </w:r>
          </w:p>
          <w:p>
            <w:pPr>
              <w:spacing w:line="800" w:lineRule="exact"/>
              <w:ind w:left="210" w:leftChars="100" w:right="210" w:rightChars="100"/>
              <w:rPr>
                <w:szCs w:val="21"/>
              </w:rPr>
            </w:pPr>
            <w:r>
              <w:rPr>
                <w:rFonts w:hint="eastAsia"/>
                <w:szCs w:val="21"/>
              </w:rPr>
              <w:t>第八节课  16:05</w:t>
            </w:r>
            <w:r>
              <w:rPr>
                <w:szCs w:val="21"/>
              </w:rPr>
              <w:t>—</w:t>
            </w:r>
            <w:r>
              <w:rPr>
                <w:rFonts w:hint="eastAsia"/>
                <w:szCs w:val="21"/>
              </w:rPr>
              <w:t>16:50</w:t>
            </w:r>
          </w:p>
          <w:p>
            <w:pPr>
              <w:spacing w:line="800" w:lineRule="exact"/>
              <w:ind w:left="210" w:leftChars="100" w:right="210" w:rightChars="100"/>
              <w:rPr>
                <w:szCs w:val="21"/>
              </w:rPr>
            </w:pPr>
            <w:r>
              <w:rPr>
                <w:rFonts w:hint="eastAsia"/>
                <w:szCs w:val="21"/>
              </w:rPr>
              <w:t xml:space="preserve">晚    饭  17:25   </w:t>
            </w:r>
          </w:p>
          <w:p>
            <w:pPr>
              <w:spacing w:line="800" w:lineRule="exact"/>
              <w:ind w:left="210" w:leftChars="100" w:right="210" w:rightChars="100"/>
              <w:rPr>
                <w:szCs w:val="21"/>
              </w:rPr>
            </w:pPr>
            <w:r>
              <w:rPr>
                <w:rFonts w:hint="eastAsia"/>
                <w:szCs w:val="21"/>
              </w:rPr>
              <w:t>夜自习一  19:10</w:t>
            </w:r>
            <w:r>
              <w:rPr>
                <w:szCs w:val="21"/>
              </w:rPr>
              <w:t>—</w:t>
            </w:r>
            <w:r>
              <w:rPr>
                <w:rFonts w:hint="eastAsia"/>
                <w:szCs w:val="21"/>
              </w:rPr>
              <w:t>19:55</w:t>
            </w:r>
          </w:p>
          <w:p>
            <w:pPr>
              <w:spacing w:line="800" w:lineRule="exact"/>
              <w:ind w:left="210" w:leftChars="100" w:right="210" w:rightChars="100"/>
              <w:rPr>
                <w:szCs w:val="21"/>
              </w:rPr>
            </w:pPr>
            <w:r>
              <w:rPr>
                <w:rFonts w:hint="eastAsia"/>
                <w:szCs w:val="21"/>
              </w:rPr>
              <w:t>夜自习二  20:05</w:t>
            </w:r>
            <w:r>
              <w:rPr>
                <w:szCs w:val="21"/>
              </w:rPr>
              <w:t>—</w:t>
            </w:r>
            <w:r>
              <w:rPr>
                <w:rFonts w:hint="eastAsia"/>
                <w:szCs w:val="21"/>
              </w:rPr>
              <w:t>20:50</w:t>
            </w:r>
          </w:p>
          <w:p>
            <w:pPr>
              <w:spacing w:line="800" w:lineRule="exact"/>
              <w:ind w:left="210" w:leftChars="100" w:right="210" w:rightChars="100"/>
              <w:rPr>
                <w:szCs w:val="21"/>
              </w:rPr>
            </w:pPr>
            <w:r>
              <w:rPr>
                <w:rFonts w:hint="eastAsia"/>
                <w:szCs w:val="21"/>
              </w:rPr>
              <w:t>夜寝熄灯  22:05</w:t>
            </w:r>
          </w:p>
        </w:tc>
      </w:tr>
      <w:bookmarkEnd w:id="0"/>
      <w:bookmarkEnd w:id="1"/>
    </w:tbl>
    <w:p>
      <w:pPr>
        <w:jc w:val="center"/>
        <w:rPr>
          <w:rFonts w:ascii="黑体" w:hAnsi="新宋体" w:eastAsia="黑体"/>
          <w:b/>
          <w:spacing w:val="50"/>
          <w:w w:val="90"/>
          <w:szCs w:val="21"/>
        </w:rPr>
      </w:pPr>
    </w:p>
    <w:p>
      <w:pPr>
        <w:jc w:val="center"/>
        <w:rPr>
          <w:rFonts w:ascii="黑体" w:hAnsi="新宋体" w:eastAsia="黑体"/>
          <w:b/>
          <w:spacing w:val="50"/>
          <w:w w:val="90"/>
          <w:szCs w:val="21"/>
        </w:rPr>
      </w:pPr>
    </w:p>
    <w:p>
      <w:pPr>
        <w:jc w:val="center"/>
        <w:rPr>
          <w:rFonts w:ascii="黑体" w:hAnsi="新宋体" w:eastAsia="黑体"/>
          <w:b/>
          <w:spacing w:val="50"/>
          <w:w w:val="90"/>
          <w:szCs w:val="21"/>
        </w:rPr>
      </w:pPr>
    </w:p>
    <w:p>
      <w:pPr>
        <w:jc w:val="center"/>
        <w:rPr>
          <w:rFonts w:ascii="黑体" w:hAnsi="新宋体" w:eastAsia="黑体"/>
          <w:b/>
          <w:spacing w:val="50"/>
          <w:w w:val="90"/>
          <w:szCs w:val="21"/>
        </w:rPr>
      </w:pPr>
    </w:p>
    <w:p>
      <w:pPr>
        <w:jc w:val="center"/>
        <w:rPr>
          <w:rFonts w:ascii="黑体" w:hAnsi="新宋体" w:eastAsia="黑体"/>
          <w:b/>
          <w:spacing w:val="50"/>
          <w:w w:val="90"/>
          <w:szCs w:val="21"/>
        </w:rPr>
      </w:pPr>
    </w:p>
    <w:p>
      <w:pPr>
        <w:jc w:val="center"/>
        <w:rPr>
          <w:rFonts w:ascii="黑体" w:hAnsi="新宋体" w:eastAsia="黑体"/>
          <w:b/>
          <w:spacing w:val="50"/>
          <w:w w:val="90"/>
          <w:szCs w:val="21"/>
        </w:rPr>
      </w:pPr>
    </w:p>
    <w:p>
      <w:pPr>
        <w:jc w:val="center"/>
        <w:rPr>
          <w:rFonts w:ascii="黑体" w:hAnsi="新宋体" w:eastAsia="黑体"/>
          <w:b/>
          <w:spacing w:val="50"/>
          <w:w w:val="90"/>
          <w:szCs w:val="21"/>
        </w:rPr>
      </w:pPr>
    </w:p>
    <w:p>
      <w:pPr>
        <w:jc w:val="center"/>
        <w:rPr>
          <w:rFonts w:ascii="黑体" w:hAnsi="新宋体" w:eastAsia="黑体"/>
          <w:b/>
          <w:spacing w:val="50"/>
          <w:w w:val="90"/>
          <w:szCs w:val="21"/>
        </w:rPr>
      </w:pPr>
    </w:p>
    <w:p>
      <w:pPr>
        <w:jc w:val="center"/>
        <w:rPr>
          <w:rFonts w:ascii="黑体" w:hAnsi="新宋体" w:eastAsia="黑体"/>
          <w:b/>
          <w:spacing w:val="50"/>
          <w:w w:val="90"/>
          <w:szCs w:val="21"/>
        </w:rPr>
      </w:pPr>
    </w:p>
    <w:p>
      <w:pPr>
        <w:jc w:val="center"/>
        <w:rPr>
          <w:rFonts w:ascii="黑体" w:hAnsi="新宋体" w:eastAsia="黑体"/>
          <w:b/>
          <w:spacing w:val="50"/>
          <w:w w:val="90"/>
          <w:szCs w:val="21"/>
        </w:rPr>
      </w:pPr>
    </w:p>
    <w:p>
      <w:pPr>
        <w:jc w:val="center"/>
        <w:rPr>
          <w:rFonts w:ascii="黑体" w:hAnsi="新宋体" w:eastAsia="黑体"/>
          <w:b/>
          <w:spacing w:val="50"/>
          <w:w w:val="90"/>
          <w:szCs w:val="21"/>
        </w:rPr>
      </w:pPr>
    </w:p>
    <w:p>
      <w:pPr>
        <w:jc w:val="center"/>
        <w:rPr>
          <w:rFonts w:ascii="黑体" w:hAnsi="新宋体" w:eastAsia="黑体"/>
          <w:b/>
          <w:spacing w:val="50"/>
          <w:w w:val="90"/>
          <w:szCs w:val="21"/>
        </w:rPr>
      </w:pPr>
    </w:p>
    <w:p>
      <w:pPr>
        <w:jc w:val="center"/>
        <w:rPr>
          <w:rFonts w:ascii="黑体" w:hAnsi="新宋体" w:eastAsia="黑体"/>
          <w:b/>
          <w:spacing w:val="50"/>
          <w:w w:val="90"/>
          <w:szCs w:val="21"/>
        </w:rPr>
      </w:pPr>
    </w:p>
    <w:p>
      <w:pPr>
        <w:jc w:val="center"/>
        <w:rPr>
          <w:rFonts w:ascii="黑体" w:hAnsi="新宋体" w:eastAsia="黑体"/>
          <w:b/>
          <w:spacing w:val="50"/>
          <w:w w:val="90"/>
          <w:sz w:val="28"/>
          <w:szCs w:val="21"/>
        </w:rPr>
      </w:pPr>
      <w:r>
        <w:rPr>
          <w:rFonts w:hint="eastAsia" w:ascii="黑体" w:hAnsi="新宋体" w:eastAsia="黑体"/>
          <w:b/>
          <w:spacing w:val="50"/>
          <w:w w:val="90"/>
          <w:sz w:val="28"/>
          <w:szCs w:val="21"/>
        </w:rPr>
        <w:t>洛阳高级中学秋季作息时间表</w:t>
      </w:r>
    </w:p>
    <w:p>
      <w:pPr>
        <w:tabs>
          <w:tab w:val="center" w:pos="4536"/>
          <w:tab w:val="right" w:pos="9072"/>
        </w:tabs>
        <w:jc w:val="left"/>
        <w:rPr>
          <w:rFonts w:ascii="黑体" w:hAnsi="新宋体" w:eastAsia="黑体"/>
          <w:b/>
          <w:spacing w:val="50"/>
          <w:w w:val="90"/>
          <w:szCs w:val="21"/>
        </w:rPr>
      </w:pPr>
      <w:r>
        <w:rPr>
          <w:rFonts w:ascii="黑体" w:hAnsi="新宋体" w:eastAsia="黑体"/>
          <w:b/>
          <w:spacing w:val="50"/>
          <w:w w:val="90"/>
          <w:szCs w:val="21"/>
        </w:rPr>
        <w:tab/>
      </w:r>
      <w:r>
        <w:rPr>
          <w:rFonts w:ascii="黑体" w:hAnsi="新宋体" w:eastAsia="黑体"/>
          <w:b/>
          <w:spacing w:val="50"/>
          <w:w w:val="90"/>
          <w:szCs w:val="21"/>
        </w:rPr>
        <w:tab/>
      </w:r>
    </w:p>
    <w:tbl>
      <w:tblPr>
        <w:tblStyle w:val="14"/>
        <w:tblW w:w="8007" w:type="dxa"/>
        <w:jc w:val="center"/>
        <w:tblInd w:w="21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39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4053" w:type="dxa"/>
          </w:tcPr>
          <w:p>
            <w:pPr>
              <w:jc w:val="center"/>
              <w:rPr>
                <w:rFonts w:eastAsia="黑体"/>
                <w:szCs w:val="21"/>
              </w:rPr>
            </w:pPr>
            <w:r>
              <w:rPr>
                <w:rFonts w:hint="eastAsia" w:eastAsia="黑体"/>
                <w:szCs w:val="21"/>
              </w:rPr>
              <w:t>上    午</w:t>
            </w:r>
          </w:p>
        </w:tc>
        <w:tc>
          <w:tcPr>
            <w:tcW w:w="3954" w:type="dxa"/>
          </w:tcPr>
          <w:p>
            <w:pPr>
              <w:jc w:val="center"/>
              <w:rPr>
                <w:rFonts w:eastAsia="黑体"/>
                <w:szCs w:val="21"/>
              </w:rPr>
            </w:pPr>
            <w:r>
              <w:rPr>
                <w:rFonts w:hint="eastAsia" w:eastAsia="黑体"/>
                <w:szCs w:val="21"/>
              </w:rPr>
              <w:t>下    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2" w:hRule="atLeast"/>
          <w:jc w:val="center"/>
        </w:trPr>
        <w:tc>
          <w:tcPr>
            <w:tcW w:w="4053" w:type="dxa"/>
          </w:tcPr>
          <w:p>
            <w:pPr>
              <w:spacing w:line="800" w:lineRule="exact"/>
              <w:ind w:left="210" w:leftChars="100"/>
              <w:rPr>
                <w:szCs w:val="21"/>
              </w:rPr>
            </w:pPr>
            <w:r>
              <w:rPr>
                <w:rFonts w:hint="eastAsia"/>
                <w:szCs w:val="21"/>
              </w:rPr>
              <w:t>早 锻 炼  6:05</w:t>
            </w:r>
          </w:p>
          <w:p>
            <w:pPr>
              <w:spacing w:line="800" w:lineRule="exact"/>
              <w:ind w:left="210" w:leftChars="100"/>
              <w:rPr>
                <w:szCs w:val="21"/>
              </w:rPr>
            </w:pPr>
            <w:r>
              <w:rPr>
                <w:rFonts w:hint="eastAsia"/>
                <w:szCs w:val="21"/>
              </w:rPr>
              <w:t>早    餐  6:35</w:t>
            </w:r>
          </w:p>
          <w:p>
            <w:pPr>
              <w:spacing w:line="800" w:lineRule="exact"/>
              <w:ind w:left="210" w:leftChars="100" w:right="210" w:rightChars="100"/>
              <w:rPr>
                <w:szCs w:val="21"/>
              </w:rPr>
            </w:pPr>
            <w:r>
              <w:rPr>
                <w:rFonts w:hint="eastAsia"/>
                <w:szCs w:val="21"/>
              </w:rPr>
              <w:t>第一节课  7:35</w:t>
            </w:r>
            <w:r>
              <w:rPr>
                <w:szCs w:val="21"/>
              </w:rPr>
              <w:t>—</w:t>
            </w:r>
            <w:r>
              <w:rPr>
                <w:rFonts w:hint="eastAsia"/>
                <w:szCs w:val="21"/>
              </w:rPr>
              <w:t>8:20</w:t>
            </w:r>
          </w:p>
          <w:p>
            <w:pPr>
              <w:spacing w:line="800" w:lineRule="exact"/>
              <w:ind w:left="210" w:leftChars="100" w:right="210" w:rightChars="100"/>
              <w:rPr>
                <w:szCs w:val="21"/>
              </w:rPr>
            </w:pPr>
            <w:r>
              <w:rPr>
                <w:rFonts w:hint="eastAsia"/>
                <w:szCs w:val="21"/>
              </w:rPr>
              <w:t>第二节课  8:30</w:t>
            </w:r>
            <w:r>
              <w:rPr>
                <w:szCs w:val="21"/>
              </w:rPr>
              <w:t>—9</w:t>
            </w:r>
            <w:r>
              <w:rPr>
                <w:rFonts w:hint="eastAsia"/>
                <w:szCs w:val="21"/>
              </w:rPr>
              <w:t>:15</w:t>
            </w:r>
          </w:p>
          <w:p>
            <w:pPr>
              <w:spacing w:line="800" w:lineRule="exact"/>
              <w:ind w:left="210" w:leftChars="100" w:right="210" w:rightChars="100"/>
              <w:rPr>
                <w:szCs w:val="21"/>
              </w:rPr>
            </w:pPr>
            <w:r>
              <w:rPr>
                <w:rFonts w:hint="eastAsia"/>
                <w:szCs w:val="21"/>
              </w:rPr>
              <w:t>大 课 间  9:15</w:t>
            </w:r>
            <w:r>
              <w:rPr>
                <w:szCs w:val="21"/>
              </w:rPr>
              <w:t>—</w:t>
            </w:r>
            <w:r>
              <w:rPr>
                <w:rFonts w:hint="eastAsia"/>
                <w:szCs w:val="21"/>
              </w:rPr>
              <w:t>9:45</w:t>
            </w:r>
          </w:p>
          <w:p>
            <w:pPr>
              <w:spacing w:line="800" w:lineRule="exact"/>
              <w:ind w:left="210" w:leftChars="100" w:right="210" w:rightChars="100"/>
              <w:rPr>
                <w:szCs w:val="21"/>
              </w:rPr>
            </w:pPr>
            <w:r>
              <w:rPr>
                <w:rFonts w:hint="eastAsia"/>
                <w:szCs w:val="21"/>
              </w:rPr>
              <w:t>第三节课  9:45</w:t>
            </w:r>
            <w:r>
              <w:rPr>
                <w:szCs w:val="21"/>
              </w:rPr>
              <w:t>—10</w:t>
            </w:r>
            <w:r>
              <w:rPr>
                <w:rFonts w:hint="eastAsia"/>
                <w:szCs w:val="21"/>
              </w:rPr>
              <w:t>:30</w:t>
            </w:r>
          </w:p>
          <w:p>
            <w:pPr>
              <w:spacing w:line="800" w:lineRule="exact"/>
              <w:ind w:left="210" w:leftChars="100"/>
              <w:rPr>
                <w:szCs w:val="21"/>
              </w:rPr>
            </w:pPr>
            <w:r>
              <w:rPr>
                <w:rFonts w:hint="eastAsia"/>
                <w:szCs w:val="21"/>
              </w:rPr>
              <w:t>眼保健操  10:40</w:t>
            </w:r>
            <w:r>
              <w:rPr>
                <w:szCs w:val="21"/>
              </w:rPr>
              <w:t>—</w:t>
            </w:r>
            <w:r>
              <w:rPr>
                <w:rFonts w:hint="eastAsia"/>
                <w:szCs w:val="21"/>
              </w:rPr>
              <w:t>10:45</w:t>
            </w:r>
          </w:p>
          <w:p>
            <w:pPr>
              <w:spacing w:line="800" w:lineRule="exact"/>
              <w:ind w:left="210" w:leftChars="100"/>
              <w:rPr>
                <w:szCs w:val="21"/>
              </w:rPr>
            </w:pPr>
            <w:r>
              <w:rPr>
                <w:rFonts w:hint="eastAsia"/>
                <w:szCs w:val="21"/>
              </w:rPr>
              <w:t>第四节课  10:45</w:t>
            </w:r>
            <w:r>
              <w:rPr>
                <w:szCs w:val="21"/>
              </w:rPr>
              <w:t>—</w:t>
            </w:r>
            <w:r>
              <w:rPr>
                <w:rFonts w:hint="eastAsia"/>
                <w:szCs w:val="21"/>
              </w:rPr>
              <w:t>11:30</w:t>
            </w:r>
          </w:p>
          <w:p>
            <w:pPr>
              <w:spacing w:line="800" w:lineRule="exact"/>
              <w:ind w:left="210" w:leftChars="100" w:right="210" w:rightChars="100"/>
              <w:rPr>
                <w:szCs w:val="21"/>
              </w:rPr>
            </w:pPr>
            <w:r>
              <w:rPr>
                <w:rFonts w:hint="eastAsia"/>
                <w:szCs w:val="21"/>
              </w:rPr>
              <w:t>中    饭  11:30</w:t>
            </w:r>
          </w:p>
        </w:tc>
        <w:tc>
          <w:tcPr>
            <w:tcW w:w="3954" w:type="dxa"/>
          </w:tcPr>
          <w:p>
            <w:pPr>
              <w:spacing w:line="800" w:lineRule="exact"/>
              <w:ind w:left="210" w:leftChars="100" w:right="210" w:rightChars="100"/>
              <w:rPr>
                <w:szCs w:val="21"/>
              </w:rPr>
            </w:pPr>
            <w:r>
              <w:rPr>
                <w:rFonts w:hint="eastAsia"/>
                <w:szCs w:val="21"/>
              </w:rPr>
              <w:t>午    休  12:00</w:t>
            </w:r>
            <w:r>
              <w:rPr>
                <w:szCs w:val="21"/>
              </w:rPr>
              <w:t>—</w:t>
            </w:r>
            <w:r>
              <w:rPr>
                <w:rFonts w:hint="eastAsia"/>
                <w:szCs w:val="21"/>
              </w:rPr>
              <w:t>13:30</w:t>
            </w:r>
          </w:p>
          <w:p>
            <w:pPr>
              <w:spacing w:line="800" w:lineRule="exact"/>
              <w:ind w:left="210" w:leftChars="100" w:right="210" w:rightChars="100"/>
              <w:rPr>
                <w:szCs w:val="21"/>
              </w:rPr>
            </w:pPr>
            <w:r>
              <w:rPr>
                <w:rFonts w:hint="eastAsia"/>
                <w:szCs w:val="21"/>
              </w:rPr>
              <w:t>第五节课  13:40</w:t>
            </w:r>
            <w:r>
              <w:rPr>
                <w:szCs w:val="21"/>
              </w:rPr>
              <w:t>—</w:t>
            </w:r>
            <w:r>
              <w:rPr>
                <w:rFonts w:hint="eastAsia"/>
                <w:szCs w:val="21"/>
              </w:rPr>
              <w:t>14:25</w:t>
            </w:r>
          </w:p>
          <w:p>
            <w:pPr>
              <w:spacing w:line="800" w:lineRule="exact"/>
              <w:ind w:left="210" w:leftChars="100" w:right="210" w:rightChars="100"/>
              <w:rPr>
                <w:szCs w:val="21"/>
              </w:rPr>
            </w:pPr>
            <w:r>
              <w:rPr>
                <w:rFonts w:hint="eastAsia"/>
                <w:szCs w:val="21"/>
              </w:rPr>
              <w:t>眼保健操  14:35</w:t>
            </w:r>
            <w:r>
              <w:rPr>
                <w:szCs w:val="21"/>
              </w:rPr>
              <w:t>—</w:t>
            </w:r>
            <w:r>
              <w:rPr>
                <w:rFonts w:hint="eastAsia"/>
                <w:szCs w:val="21"/>
              </w:rPr>
              <w:t>14:40</w:t>
            </w:r>
          </w:p>
          <w:p>
            <w:pPr>
              <w:spacing w:line="800" w:lineRule="exact"/>
              <w:ind w:left="210" w:leftChars="100" w:right="210" w:rightChars="100"/>
              <w:rPr>
                <w:szCs w:val="21"/>
              </w:rPr>
            </w:pPr>
            <w:r>
              <w:rPr>
                <w:rFonts w:hint="eastAsia"/>
                <w:szCs w:val="21"/>
              </w:rPr>
              <w:t>第六节课  14:40</w:t>
            </w:r>
            <w:r>
              <w:rPr>
                <w:szCs w:val="21"/>
              </w:rPr>
              <w:t>—</w:t>
            </w:r>
            <w:r>
              <w:rPr>
                <w:rFonts w:hint="eastAsia"/>
                <w:szCs w:val="21"/>
              </w:rPr>
              <w:t>15:25</w:t>
            </w:r>
          </w:p>
          <w:p>
            <w:pPr>
              <w:spacing w:line="800" w:lineRule="exact"/>
              <w:ind w:left="210" w:leftChars="100" w:right="210" w:rightChars="100"/>
              <w:rPr>
                <w:szCs w:val="21"/>
              </w:rPr>
            </w:pPr>
            <w:r>
              <w:rPr>
                <w:rFonts w:hint="eastAsia"/>
                <w:szCs w:val="21"/>
              </w:rPr>
              <w:t>第七节课  15:35</w:t>
            </w:r>
            <w:r>
              <w:rPr>
                <w:szCs w:val="21"/>
              </w:rPr>
              <w:t>—</w:t>
            </w:r>
            <w:r>
              <w:rPr>
                <w:rFonts w:hint="eastAsia"/>
                <w:szCs w:val="21"/>
              </w:rPr>
              <w:t>16:20</w:t>
            </w:r>
          </w:p>
          <w:p>
            <w:pPr>
              <w:spacing w:line="800" w:lineRule="exact"/>
              <w:ind w:left="210" w:leftChars="100" w:right="210" w:rightChars="100"/>
              <w:rPr>
                <w:szCs w:val="21"/>
              </w:rPr>
            </w:pPr>
            <w:r>
              <w:rPr>
                <w:rFonts w:hint="eastAsia"/>
                <w:szCs w:val="21"/>
              </w:rPr>
              <w:t>第八节课  16:30</w:t>
            </w:r>
            <w:r>
              <w:rPr>
                <w:szCs w:val="21"/>
              </w:rPr>
              <w:t>—</w:t>
            </w:r>
            <w:r>
              <w:rPr>
                <w:rFonts w:hint="eastAsia"/>
                <w:szCs w:val="21"/>
              </w:rPr>
              <w:t>17:15</w:t>
            </w:r>
          </w:p>
          <w:p>
            <w:pPr>
              <w:spacing w:line="800" w:lineRule="exact"/>
              <w:ind w:left="210" w:leftChars="100" w:right="210" w:rightChars="100"/>
              <w:rPr>
                <w:szCs w:val="21"/>
              </w:rPr>
            </w:pPr>
            <w:r>
              <w:rPr>
                <w:rFonts w:hint="eastAsia"/>
                <w:szCs w:val="21"/>
              </w:rPr>
              <w:t xml:space="preserve">晚    饭  17:45                 </w:t>
            </w:r>
          </w:p>
          <w:p>
            <w:pPr>
              <w:spacing w:line="800" w:lineRule="exact"/>
              <w:ind w:left="210" w:leftChars="100" w:right="210" w:rightChars="100"/>
              <w:rPr>
                <w:szCs w:val="21"/>
              </w:rPr>
            </w:pPr>
            <w:r>
              <w:rPr>
                <w:rFonts w:hint="eastAsia"/>
                <w:szCs w:val="21"/>
              </w:rPr>
              <w:t>夜自习一  19:10</w:t>
            </w:r>
            <w:r>
              <w:rPr>
                <w:szCs w:val="21"/>
              </w:rPr>
              <w:t>—</w:t>
            </w:r>
            <w:r>
              <w:rPr>
                <w:rFonts w:hint="eastAsia"/>
                <w:szCs w:val="21"/>
              </w:rPr>
              <w:t>19:55</w:t>
            </w:r>
          </w:p>
          <w:p>
            <w:pPr>
              <w:spacing w:line="800" w:lineRule="exact"/>
              <w:ind w:left="210" w:leftChars="100" w:right="210" w:rightChars="100"/>
              <w:rPr>
                <w:szCs w:val="21"/>
              </w:rPr>
            </w:pPr>
            <w:r>
              <w:rPr>
                <w:rFonts w:hint="eastAsia"/>
                <w:szCs w:val="21"/>
              </w:rPr>
              <w:t>夜自习二  20:05</w:t>
            </w:r>
            <w:r>
              <w:rPr>
                <w:szCs w:val="21"/>
              </w:rPr>
              <w:t>—</w:t>
            </w:r>
            <w:r>
              <w:rPr>
                <w:rFonts w:hint="eastAsia"/>
                <w:szCs w:val="21"/>
              </w:rPr>
              <w:t>20:50</w:t>
            </w:r>
          </w:p>
          <w:p>
            <w:pPr>
              <w:spacing w:line="800" w:lineRule="exact"/>
              <w:ind w:left="210" w:leftChars="100" w:right="210" w:rightChars="100"/>
              <w:rPr>
                <w:szCs w:val="21"/>
              </w:rPr>
            </w:pPr>
            <w:r>
              <w:rPr>
                <w:rFonts w:hint="eastAsia"/>
                <w:szCs w:val="21"/>
              </w:rPr>
              <w:t>夜寝熄灯  22:05</w:t>
            </w:r>
          </w:p>
        </w:tc>
      </w:tr>
    </w:tbl>
    <w:p/>
    <w:p/>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r>
        <w:rPr>
          <w:rFonts w:hint="eastAsia" w:ascii="宋体"/>
          <w:b/>
          <w:sz w:val="28"/>
          <w:szCs w:val="28"/>
        </w:rPr>
        <w:t xml:space="preserve">9.学校理事会、家委会成员情况表 </w:t>
      </w:r>
    </w:p>
    <w:tbl>
      <w:tblPr>
        <w:tblStyle w:val="14"/>
        <w:tblW w:w="8301" w:type="dxa"/>
        <w:tblInd w:w="0" w:type="dxa"/>
        <w:tblLayout w:type="fixed"/>
        <w:tblCellMar>
          <w:top w:w="15" w:type="dxa"/>
          <w:left w:w="15" w:type="dxa"/>
          <w:bottom w:w="15" w:type="dxa"/>
          <w:right w:w="15" w:type="dxa"/>
        </w:tblCellMar>
      </w:tblPr>
      <w:tblGrid>
        <w:gridCol w:w="573"/>
        <w:gridCol w:w="1208"/>
        <w:gridCol w:w="908"/>
        <w:gridCol w:w="803"/>
        <w:gridCol w:w="1944"/>
        <w:gridCol w:w="747"/>
        <w:gridCol w:w="2118"/>
      </w:tblGrid>
      <w:tr>
        <w:tblPrEx>
          <w:tblLayout w:type="fixed"/>
          <w:tblCellMar>
            <w:top w:w="15" w:type="dxa"/>
            <w:left w:w="15" w:type="dxa"/>
            <w:bottom w:w="15" w:type="dxa"/>
            <w:right w:w="15" w:type="dxa"/>
          </w:tblCellMar>
        </w:tblPrEx>
        <w:trPr>
          <w:trHeight w:val="525" w:hRule="atLeast"/>
        </w:trPr>
        <w:tc>
          <w:tcPr>
            <w:tcW w:w="8301"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40"/>
                <w:szCs w:val="40"/>
              </w:rPr>
            </w:pPr>
            <w:r>
              <w:rPr>
                <w:rFonts w:hint="eastAsia" w:ascii="宋体" w:hAnsi="宋体" w:cs="宋体"/>
                <w:b/>
                <w:bCs/>
                <w:color w:val="000000"/>
                <w:kern w:val="0"/>
                <w:sz w:val="28"/>
                <w:szCs w:val="28"/>
              </w:rPr>
              <w:t>洛阳高中家长委员会名单</w:t>
            </w:r>
          </w:p>
        </w:tc>
      </w:tr>
      <w:tr>
        <w:tblPrEx>
          <w:tblLayout w:type="fixed"/>
          <w:tblCellMar>
            <w:top w:w="15" w:type="dxa"/>
            <w:left w:w="15" w:type="dxa"/>
            <w:bottom w:w="15" w:type="dxa"/>
            <w:right w:w="15" w:type="dxa"/>
          </w:tblCellMar>
        </w:tblPrEx>
        <w:trPr>
          <w:trHeight w:val="390"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学生姓名</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家长姓名</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家长性别</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工作单位</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学历</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联系电话</w:t>
            </w:r>
          </w:p>
        </w:tc>
      </w:tr>
      <w:tr>
        <w:tblPrEx>
          <w:tblLayout w:type="fixed"/>
          <w:tblCellMar>
            <w:top w:w="15" w:type="dxa"/>
            <w:left w:w="15" w:type="dxa"/>
            <w:bottom w:w="15" w:type="dxa"/>
            <w:right w:w="15" w:type="dxa"/>
          </w:tblCellMar>
        </w:tblPrEx>
        <w:trPr>
          <w:trHeight w:val="390"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徐蔚</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徐闻卿</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中国银行</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中专</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13961156587</w:t>
            </w:r>
          </w:p>
        </w:tc>
      </w:tr>
      <w:tr>
        <w:tblPrEx>
          <w:tblLayout w:type="fixed"/>
          <w:tblCellMar>
            <w:top w:w="15" w:type="dxa"/>
            <w:left w:w="15" w:type="dxa"/>
            <w:bottom w:w="15" w:type="dxa"/>
            <w:right w:w="15" w:type="dxa"/>
          </w:tblCellMar>
        </w:tblPrEx>
        <w:trPr>
          <w:trHeight w:val="390"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朱丹颖</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沈华芳</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教师</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本科</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13961160722</w:t>
            </w:r>
          </w:p>
        </w:tc>
      </w:tr>
      <w:tr>
        <w:tblPrEx>
          <w:tblLayout w:type="fixed"/>
          <w:tblCellMar>
            <w:top w:w="15" w:type="dxa"/>
            <w:left w:w="15" w:type="dxa"/>
            <w:bottom w:w="15" w:type="dxa"/>
            <w:right w:w="15" w:type="dxa"/>
          </w:tblCellMar>
        </w:tblPrEx>
        <w:trPr>
          <w:trHeight w:val="390"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严江川</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严力</w:t>
            </w:r>
          </w:p>
        </w:tc>
        <w:tc>
          <w:tcPr>
            <w:tcW w:w="803" w:type="dxa"/>
            <w:tcBorders>
              <w:left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 公务员</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 本科</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15189703994</w:t>
            </w:r>
          </w:p>
        </w:tc>
      </w:tr>
      <w:tr>
        <w:tblPrEx>
          <w:tblLayout w:type="fixed"/>
          <w:tblCellMar>
            <w:top w:w="15" w:type="dxa"/>
            <w:left w:w="15" w:type="dxa"/>
            <w:bottom w:w="15" w:type="dxa"/>
            <w:right w:w="15" w:type="dxa"/>
          </w:tblCellMar>
        </w:tblPrEx>
        <w:trPr>
          <w:trHeight w:val="390"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赵祎乐</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崔艳</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常运驾校文秘</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中专</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13961225057</w:t>
            </w:r>
          </w:p>
        </w:tc>
      </w:tr>
      <w:tr>
        <w:tblPrEx>
          <w:tblLayout w:type="fixed"/>
          <w:tblCellMar>
            <w:top w:w="15" w:type="dxa"/>
            <w:left w:w="15" w:type="dxa"/>
            <w:bottom w:w="15" w:type="dxa"/>
            <w:right w:w="15" w:type="dxa"/>
          </w:tblCellMar>
        </w:tblPrEx>
        <w:trPr>
          <w:trHeight w:val="390"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杨奔</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徐艳芬</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银行</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本科</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15961201788</w:t>
            </w:r>
          </w:p>
        </w:tc>
      </w:tr>
      <w:tr>
        <w:tblPrEx>
          <w:tblLayout w:type="fixed"/>
          <w:tblCellMar>
            <w:top w:w="15" w:type="dxa"/>
            <w:left w:w="15" w:type="dxa"/>
            <w:bottom w:w="15" w:type="dxa"/>
            <w:right w:w="15" w:type="dxa"/>
          </w:tblCellMar>
        </w:tblPrEx>
        <w:trPr>
          <w:trHeight w:val="390"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 林成悦</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张俊华</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 银行</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 本科</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15961443818</w:t>
            </w:r>
          </w:p>
        </w:tc>
      </w:tr>
      <w:tr>
        <w:tblPrEx>
          <w:tblLayout w:type="fixed"/>
          <w:tblCellMar>
            <w:top w:w="15" w:type="dxa"/>
            <w:left w:w="15" w:type="dxa"/>
            <w:bottom w:w="15" w:type="dxa"/>
            <w:right w:w="15" w:type="dxa"/>
          </w:tblCellMar>
        </w:tblPrEx>
        <w:trPr>
          <w:trHeight w:val="390"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  央</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姚燕</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自由职业者</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初中</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13401345688</w:t>
            </w:r>
          </w:p>
        </w:tc>
      </w:tr>
      <w:tr>
        <w:tblPrEx>
          <w:tblLayout w:type="fixed"/>
          <w:tblCellMar>
            <w:top w:w="15" w:type="dxa"/>
            <w:left w:w="15" w:type="dxa"/>
            <w:bottom w:w="15" w:type="dxa"/>
            <w:right w:w="15" w:type="dxa"/>
          </w:tblCellMar>
        </w:tblPrEx>
        <w:trPr>
          <w:trHeight w:val="390"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朱佳依</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何小燕 </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个体</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高中</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15861898256</w:t>
            </w:r>
          </w:p>
        </w:tc>
      </w:tr>
      <w:tr>
        <w:tblPrEx>
          <w:tblLayout w:type="fixed"/>
          <w:tblCellMar>
            <w:top w:w="15" w:type="dxa"/>
            <w:left w:w="15" w:type="dxa"/>
            <w:bottom w:w="15" w:type="dxa"/>
            <w:right w:w="15" w:type="dxa"/>
          </w:tblCellMar>
        </w:tblPrEx>
        <w:trPr>
          <w:trHeight w:val="390"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王悦 </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汪素清</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个体</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本科</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13912311716</w:t>
            </w:r>
          </w:p>
        </w:tc>
      </w:tr>
      <w:tr>
        <w:tblPrEx>
          <w:tblLayout w:type="fixed"/>
          <w:tblCellMar>
            <w:top w:w="15" w:type="dxa"/>
            <w:left w:w="15" w:type="dxa"/>
            <w:bottom w:w="15" w:type="dxa"/>
            <w:right w:w="15" w:type="dxa"/>
          </w:tblCellMar>
        </w:tblPrEx>
        <w:trPr>
          <w:trHeight w:val="390"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孙晴</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秦芳</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永力波纹管有限公司</w:t>
            </w: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大专</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13775008876</w:t>
            </w:r>
          </w:p>
        </w:tc>
      </w:tr>
      <w:tr>
        <w:tblPrEx>
          <w:tblLayout w:type="fixed"/>
          <w:tblCellMar>
            <w:top w:w="15" w:type="dxa"/>
            <w:left w:w="15" w:type="dxa"/>
            <w:bottom w:w="15" w:type="dxa"/>
            <w:right w:w="15" w:type="dxa"/>
          </w:tblCellMar>
        </w:tblPrEx>
        <w:trPr>
          <w:trHeight w:val="390"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凌子阳</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凌宏刚</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个体</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高中</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13815030971</w:t>
            </w:r>
          </w:p>
        </w:tc>
      </w:tr>
      <w:tr>
        <w:tblPrEx>
          <w:tblLayout w:type="fixed"/>
          <w:tblCellMar>
            <w:top w:w="15" w:type="dxa"/>
            <w:left w:w="15" w:type="dxa"/>
            <w:bottom w:w="15" w:type="dxa"/>
            <w:right w:w="15" w:type="dxa"/>
          </w:tblCellMar>
        </w:tblPrEx>
        <w:trPr>
          <w:trHeight w:val="390"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吴鑫枫</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尹梨英</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个体</w:t>
            </w: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大专</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15951226851</w:t>
            </w:r>
          </w:p>
        </w:tc>
      </w:tr>
      <w:tr>
        <w:tblPrEx>
          <w:tblLayout w:type="fixed"/>
          <w:tblCellMar>
            <w:top w:w="15" w:type="dxa"/>
            <w:left w:w="15" w:type="dxa"/>
            <w:bottom w:w="15" w:type="dxa"/>
            <w:right w:w="15" w:type="dxa"/>
          </w:tblCellMar>
        </w:tblPrEx>
        <w:trPr>
          <w:trHeight w:val="390"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王殊君</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王春平</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农电工程</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高中</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13813556955</w:t>
            </w:r>
          </w:p>
        </w:tc>
      </w:tr>
      <w:tr>
        <w:tblPrEx>
          <w:tblLayout w:type="fixed"/>
          <w:tblCellMar>
            <w:top w:w="15" w:type="dxa"/>
            <w:left w:w="15" w:type="dxa"/>
            <w:bottom w:w="15" w:type="dxa"/>
            <w:right w:w="15" w:type="dxa"/>
          </w:tblCellMar>
        </w:tblPrEx>
        <w:trPr>
          <w:trHeight w:val="390"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周沛珊</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高亚红</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丽泰针织科技公司</w:t>
            </w: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大专</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13915050789</w:t>
            </w:r>
          </w:p>
        </w:tc>
      </w:tr>
      <w:tr>
        <w:tblPrEx>
          <w:tblLayout w:type="fixed"/>
          <w:tblCellMar>
            <w:top w:w="15" w:type="dxa"/>
            <w:left w:w="15" w:type="dxa"/>
            <w:bottom w:w="15" w:type="dxa"/>
            <w:right w:w="15" w:type="dxa"/>
          </w:tblCellMar>
        </w:tblPrEx>
        <w:trPr>
          <w:trHeight w:val="390"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钱洁雯</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谢丽敏</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个体</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初中</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13775086548</w:t>
            </w:r>
          </w:p>
        </w:tc>
      </w:tr>
      <w:tr>
        <w:tblPrEx>
          <w:tblLayout w:type="fixed"/>
          <w:tblCellMar>
            <w:top w:w="15" w:type="dxa"/>
            <w:left w:w="15" w:type="dxa"/>
            <w:bottom w:w="15" w:type="dxa"/>
            <w:right w:w="15" w:type="dxa"/>
          </w:tblCellMar>
        </w:tblPrEx>
        <w:trPr>
          <w:trHeight w:val="390"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杨靖</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杨源刚</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沛创贸易</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中专</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13915069392</w:t>
            </w:r>
          </w:p>
        </w:tc>
      </w:tr>
      <w:tr>
        <w:tblPrEx>
          <w:tblLayout w:type="fixed"/>
          <w:tblCellMar>
            <w:top w:w="15" w:type="dxa"/>
            <w:left w:w="15" w:type="dxa"/>
            <w:bottom w:w="15" w:type="dxa"/>
            <w:right w:w="15" w:type="dxa"/>
          </w:tblCellMar>
        </w:tblPrEx>
        <w:trPr>
          <w:trHeight w:val="390"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秦熙文</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费娜</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江南农商行</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本科</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13915806988</w:t>
            </w:r>
          </w:p>
        </w:tc>
      </w:tr>
      <w:tr>
        <w:tblPrEx>
          <w:tblLayout w:type="fixed"/>
          <w:tblCellMar>
            <w:top w:w="15" w:type="dxa"/>
            <w:left w:w="15" w:type="dxa"/>
            <w:bottom w:w="15" w:type="dxa"/>
            <w:right w:w="15" w:type="dxa"/>
          </w:tblCellMar>
        </w:tblPrEx>
        <w:trPr>
          <w:trHeight w:val="390"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马奕晨</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马晓峰</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谈家头村委</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本科</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13506112022</w:t>
            </w:r>
          </w:p>
        </w:tc>
      </w:tr>
      <w:tr>
        <w:tblPrEx>
          <w:tblLayout w:type="fixed"/>
          <w:tblCellMar>
            <w:top w:w="15" w:type="dxa"/>
            <w:left w:w="15" w:type="dxa"/>
            <w:bottom w:w="15" w:type="dxa"/>
            <w:right w:w="15"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杨嘉超</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杨小柯</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民丰村大队</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高中</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13861029055</w:t>
            </w:r>
          </w:p>
        </w:tc>
      </w:tr>
      <w:tr>
        <w:tblPrEx>
          <w:tblLayout w:type="fixed"/>
          <w:tblCellMar>
            <w:top w:w="15" w:type="dxa"/>
            <w:left w:w="15" w:type="dxa"/>
            <w:bottom w:w="15" w:type="dxa"/>
            <w:right w:w="15"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詹婧栩</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陈亚芬</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永安机电</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初中</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13685226108</w:t>
            </w:r>
          </w:p>
        </w:tc>
      </w:tr>
      <w:tr>
        <w:tblPrEx>
          <w:tblLayout w:type="fixed"/>
          <w:tblCellMar>
            <w:top w:w="15" w:type="dxa"/>
            <w:left w:w="15" w:type="dxa"/>
            <w:bottom w:w="15" w:type="dxa"/>
            <w:right w:w="15"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许涵宁</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王燕红</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欧凯电器</w:t>
            </w: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大专</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13775527620</w:t>
            </w:r>
          </w:p>
        </w:tc>
      </w:tr>
      <w:tr>
        <w:tblPrEx>
          <w:tblLayout w:type="fixed"/>
          <w:tblCellMar>
            <w:top w:w="15" w:type="dxa"/>
            <w:left w:w="15" w:type="dxa"/>
            <w:bottom w:w="15" w:type="dxa"/>
            <w:right w:w="15"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沈烨锋</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徐小朵</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顺浦机电</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中专</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13961213449</w:t>
            </w:r>
          </w:p>
        </w:tc>
      </w:tr>
      <w:tr>
        <w:tblPrEx>
          <w:tblLayout w:type="fixed"/>
          <w:tblCellMar>
            <w:top w:w="15" w:type="dxa"/>
            <w:left w:w="15" w:type="dxa"/>
            <w:bottom w:w="15" w:type="dxa"/>
            <w:right w:w="15"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沈家怡</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沈光贤</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亚通机电</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大专</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13775117068</w:t>
            </w:r>
          </w:p>
        </w:tc>
      </w:tr>
      <w:tr>
        <w:tblPrEx>
          <w:tblLayout w:type="fixed"/>
          <w:tblCellMar>
            <w:top w:w="15" w:type="dxa"/>
            <w:left w:w="15" w:type="dxa"/>
            <w:bottom w:w="15" w:type="dxa"/>
            <w:right w:w="15"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唐赟敏</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唐红伟</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包菱重工</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中专</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13651503459</w:t>
            </w:r>
          </w:p>
        </w:tc>
      </w:tr>
      <w:tr>
        <w:tblPrEx>
          <w:tblLayout w:type="fixed"/>
          <w:tblCellMar>
            <w:top w:w="15" w:type="dxa"/>
            <w:left w:w="15" w:type="dxa"/>
            <w:bottom w:w="15" w:type="dxa"/>
            <w:right w:w="15"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谢涵</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夏志芬</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华联机械</w:t>
            </w: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大专</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13806122421</w:t>
            </w:r>
          </w:p>
        </w:tc>
      </w:tr>
      <w:tr>
        <w:tblPrEx>
          <w:tblLayout w:type="fixed"/>
          <w:tblCellMar>
            <w:top w:w="15" w:type="dxa"/>
            <w:left w:w="15" w:type="dxa"/>
            <w:bottom w:w="15" w:type="dxa"/>
            <w:right w:w="15"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周怡</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周金平</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百顺汽修</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高中</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13606117809</w:t>
            </w:r>
          </w:p>
        </w:tc>
      </w:tr>
      <w:tr>
        <w:tblPrEx>
          <w:tblLayout w:type="fixed"/>
          <w:tblCellMar>
            <w:top w:w="15" w:type="dxa"/>
            <w:left w:w="15" w:type="dxa"/>
            <w:bottom w:w="15" w:type="dxa"/>
            <w:right w:w="15"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顾宇辰</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丁延芳</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9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个体</w:t>
            </w: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大专</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18915021359</w:t>
            </w:r>
          </w:p>
        </w:tc>
      </w:tr>
      <w:tr>
        <w:tblPrEx>
          <w:tblLayout w:type="fixed"/>
          <w:tblCellMar>
            <w:top w:w="15" w:type="dxa"/>
            <w:left w:w="15" w:type="dxa"/>
            <w:bottom w:w="15" w:type="dxa"/>
            <w:right w:w="15"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李宇松</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李秋霞</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洛凯机电</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初中</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13775078263</w:t>
            </w:r>
          </w:p>
        </w:tc>
      </w:tr>
    </w:tbl>
    <w:p>
      <w:pPr>
        <w:tabs>
          <w:tab w:val="left" w:pos="0"/>
        </w:tabs>
        <w:spacing w:line="560" w:lineRule="exact"/>
        <w:ind w:right="560"/>
        <w:rPr>
          <w:rFonts w:ascii="宋体" w:hAnsi="宋体"/>
          <w:szCs w:val="21"/>
        </w:rPr>
      </w:pPr>
      <w:r>
        <w:rPr>
          <w:rFonts w:hint="eastAsia" w:ascii="宋体" w:hAnsi="宋体"/>
          <w:szCs w:val="21"/>
        </w:rPr>
        <w:t>注：如没有成立学校理事会，则不必填写学校理事会成员表</w:t>
      </w:r>
    </w:p>
    <w:p>
      <w:pPr>
        <w:tabs>
          <w:tab w:val="left" w:pos="0"/>
        </w:tabs>
        <w:spacing w:line="560" w:lineRule="exact"/>
        <w:ind w:right="560"/>
        <w:rPr>
          <w:rFonts w:ascii="宋体"/>
          <w:b/>
          <w:sz w:val="28"/>
          <w:szCs w:val="28"/>
        </w:rPr>
      </w:pPr>
      <w:r>
        <w:rPr>
          <w:rFonts w:hint="eastAsia" w:ascii="宋体"/>
          <w:b/>
          <w:sz w:val="28"/>
          <w:szCs w:val="28"/>
        </w:rPr>
        <w:t xml:space="preserve">10.家长学校活动情况表 </w:t>
      </w:r>
    </w:p>
    <w:tbl>
      <w:tblPr>
        <w:tblStyle w:val="14"/>
        <w:tblpPr w:leftFromText="180" w:rightFromText="180" w:vertAnchor="text" w:horzAnchor="page" w:tblpX="1153" w:tblpY="150"/>
        <w:tblOverlap w:val="never"/>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2739"/>
        <w:gridCol w:w="975"/>
        <w:gridCol w:w="1271"/>
        <w:gridCol w:w="1323"/>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045" w:type="dxa"/>
          </w:tcPr>
          <w:p>
            <w:pPr>
              <w:tabs>
                <w:tab w:val="left" w:pos="9135"/>
              </w:tabs>
              <w:adjustRightInd w:val="0"/>
              <w:snapToGrid w:val="0"/>
              <w:spacing w:line="240" w:lineRule="atLeast"/>
              <w:jc w:val="center"/>
              <w:rPr>
                <w:rFonts w:ascii="宋体"/>
                <w:szCs w:val="21"/>
              </w:rPr>
            </w:pPr>
            <w:r>
              <w:rPr>
                <w:rFonts w:hint="eastAsia" w:ascii="宋体" w:hAnsi="宋体"/>
                <w:szCs w:val="21"/>
              </w:rPr>
              <w:t>创办时间</w:t>
            </w:r>
          </w:p>
        </w:tc>
        <w:tc>
          <w:tcPr>
            <w:tcW w:w="7215" w:type="dxa"/>
            <w:gridSpan w:val="5"/>
          </w:tcPr>
          <w:p>
            <w:pPr>
              <w:tabs>
                <w:tab w:val="left" w:pos="9135"/>
              </w:tabs>
              <w:adjustRightInd w:val="0"/>
              <w:snapToGrid w:val="0"/>
              <w:spacing w:line="240" w:lineRule="atLeast"/>
              <w:jc w:val="center"/>
              <w:rPr>
                <w:rFonts w:ascii="宋体"/>
                <w:szCs w:val="21"/>
              </w:rPr>
            </w:pPr>
            <w:r>
              <w:rPr>
                <w:rFonts w:hint="eastAsia" w:ascii="宋体"/>
                <w:szCs w:val="21"/>
              </w:rPr>
              <w:t>2013年5月（洛阳高级中学成立）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045" w:type="dxa"/>
            <w:vMerge w:val="restart"/>
            <w:vAlign w:val="center"/>
          </w:tcPr>
          <w:p>
            <w:pPr>
              <w:tabs>
                <w:tab w:val="left" w:pos="9135"/>
              </w:tabs>
              <w:adjustRightInd w:val="0"/>
              <w:snapToGrid w:val="0"/>
              <w:spacing w:line="240" w:lineRule="atLeast"/>
              <w:jc w:val="center"/>
              <w:rPr>
                <w:rFonts w:ascii="宋体"/>
                <w:szCs w:val="21"/>
              </w:rPr>
            </w:pPr>
            <w:r>
              <w:rPr>
                <w:rFonts w:hint="eastAsia" w:ascii="宋体" w:hAnsi="宋体"/>
                <w:szCs w:val="21"/>
              </w:rPr>
              <w:t>授课次数</w:t>
            </w:r>
            <w:r>
              <w:rPr>
                <w:rFonts w:ascii="宋体" w:hAnsi="宋体"/>
                <w:szCs w:val="21"/>
              </w:rPr>
              <w:t>/</w:t>
            </w:r>
            <w:r>
              <w:rPr>
                <w:rFonts w:hint="eastAsia" w:ascii="宋体" w:hAnsi="宋体"/>
                <w:szCs w:val="21"/>
              </w:rPr>
              <w:t>时间</w:t>
            </w:r>
          </w:p>
        </w:tc>
        <w:tc>
          <w:tcPr>
            <w:tcW w:w="2739" w:type="dxa"/>
            <w:vMerge w:val="restart"/>
            <w:vAlign w:val="center"/>
          </w:tcPr>
          <w:p>
            <w:pPr>
              <w:tabs>
                <w:tab w:val="left" w:pos="9135"/>
              </w:tabs>
              <w:adjustRightInd w:val="0"/>
              <w:snapToGrid w:val="0"/>
              <w:spacing w:line="240" w:lineRule="atLeast"/>
              <w:jc w:val="center"/>
              <w:rPr>
                <w:rFonts w:ascii="宋体"/>
                <w:szCs w:val="21"/>
              </w:rPr>
            </w:pPr>
            <w:r>
              <w:rPr>
                <w:rFonts w:hint="eastAsia" w:ascii="宋体" w:hAnsi="宋体"/>
                <w:szCs w:val="21"/>
              </w:rPr>
              <w:t>授课主题</w:t>
            </w:r>
          </w:p>
        </w:tc>
        <w:tc>
          <w:tcPr>
            <w:tcW w:w="3569" w:type="dxa"/>
            <w:gridSpan w:val="3"/>
            <w:vAlign w:val="center"/>
          </w:tcPr>
          <w:p>
            <w:pPr>
              <w:tabs>
                <w:tab w:val="left" w:pos="9135"/>
              </w:tabs>
              <w:adjustRightInd w:val="0"/>
              <w:snapToGrid w:val="0"/>
              <w:spacing w:line="240" w:lineRule="atLeast"/>
              <w:jc w:val="center"/>
              <w:rPr>
                <w:rFonts w:ascii="宋体"/>
                <w:szCs w:val="21"/>
              </w:rPr>
            </w:pPr>
            <w:r>
              <w:rPr>
                <w:rFonts w:hint="eastAsia" w:ascii="宋体" w:hAnsi="宋体"/>
                <w:szCs w:val="21"/>
              </w:rPr>
              <w:t>授课人</w:t>
            </w:r>
          </w:p>
        </w:tc>
        <w:tc>
          <w:tcPr>
            <w:tcW w:w="907" w:type="dxa"/>
            <w:vMerge w:val="restart"/>
            <w:vAlign w:val="center"/>
          </w:tcPr>
          <w:p>
            <w:pPr>
              <w:tabs>
                <w:tab w:val="left" w:pos="9135"/>
              </w:tabs>
              <w:adjustRightInd w:val="0"/>
              <w:snapToGrid w:val="0"/>
              <w:spacing w:line="240" w:lineRule="atLeast"/>
              <w:jc w:val="center"/>
              <w:rPr>
                <w:rFonts w:ascii="宋体"/>
                <w:szCs w:val="21"/>
              </w:rPr>
            </w:pPr>
            <w:r>
              <w:rPr>
                <w:rFonts w:hint="eastAsia" w:ascii="宋体" w:hAnsi="宋体"/>
                <w:szCs w:val="21"/>
              </w:rPr>
              <w:t>听课</w:t>
            </w:r>
          </w:p>
          <w:p>
            <w:pPr>
              <w:tabs>
                <w:tab w:val="left" w:pos="9135"/>
              </w:tabs>
              <w:adjustRightInd w:val="0"/>
              <w:snapToGrid w:val="0"/>
              <w:spacing w:line="240" w:lineRule="atLeast"/>
              <w:jc w:val="center"/>
              <w:rPr>
                <w:rFonts w:ascii="宋体"/>
                <w:szCs w:val="21"/>
              </w:rPr>
            </w:pPr>
            <w:r>
              <w:rPr>
                <w:rFonts w:hint="eastAsia" w:ascii="宋体" w:hAnsi="宋体"/>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045" w:type="dxa"/>
            <w:vMerge w:val="continue"/>
          </w:tcPr>
          <w:p>
            <w:pPr>
              <w:tabs>
                <w:tab w:val="left" w:pos="9135"/>
              </w:tabs>
              <w:adjustRightInd w:val="0"/>
              <w:snapToGrid w:val="0"/>
              <w:spacing w:line="240" w:lineRule="atLeast"/>
              <w:jc w:val="center"/>
              <w:rPr>
                <w:rFonts w:ascii="宋体"/>
                <w:szCs w:val="21"/>
              </w:rPr>
            </w:pPr>
          </w:p>
        </w:tc>
        <w:tc>
          <w:tcPr>
            <w:tcW w:w="2739" w:type="dxa"/>
            <w:vMerge w:val="continue"/>
          </w:tcPr>
          <w:p>
            <w:pPr>
              <w:tabs>
                <w:tab w:val="left" w:pos="9135"/>
              </w:tabs>
              <w:adjustRightInd w:val="0"/>
              <w:snapToGrid w:val="0"/>
              <w:spacing w:line="240" w:lineRule="atLeast"/>
              <w:jc w:val="center"/>
              <w:rPr>
                <w:rFonts w:ascii="宋体"/>
                <w:szCs w:val="21"/>
              </w:rPr>
            </w:pPr>
          </w:p>
        </w:tc>
        <w:tc>
          <w:tcPr>
            <w:tcW w:w="975" w:type="dxa"/>
            <w:vAlign w:val="center"/>
          </w:tcPr>
          <w:p>
            <w:pPr>
              <w:tabs>
                <w:tab w:val="left" w:pos="9135"/>
              </w:tabs>
              <w:adjustRightInd w:val="0"/>
              <w:snapToGrid w:val="0"/>
              <w:spacing w:line="240" w:lineRule="atLeast"/>
              <w:jc w:val="center"/>
              <w:rPr>
                <w:rFonts w:ascii="宋体"/>
                <w:szCs w:val="21"/>
              </w:rPr>
            </w:pPr>
            <w:r>
              <w:rPr>
                <w:rFonts w:hint="eastAsia" w:ascii="宋体" w:hAnsi="宋体"/>
                <w:szCs w:val="21"/>
              </w:rPr>
              <w:t>姓名</w:t>
            </w:r>
          </w:p>
        </w:tc>
        <w:tc>
          <w:tcPr>
            <w:tcW w:w="1271" w:type="dxa"/>
            <w:vAlign w:val="center"/>
          </w:tcPr>
          <w:p>
            <w:pPr>
              <w:tabs>
                <w:tab w:val="left" w:pos="9135"/>
              </w:tabs>
              <w:adjustRightInd w:val="0"/>
              <w:snapToGrid w:val="0"/>
              <w:spacing w:line="240" w:lineRule="atLeast"/>
              <w:jc w:val="center"/>
              <w:rPr>
                <w:rFonts w:ascii="宋体"/>
                <w:szCs w:val="21"/>
              </w:rPr>
            </w:pPr>
            <w:r>
              <w:rPr>
                <w:rFonts w:hint="eastAsia" w:ascii="宋体" w:hAnsi="宋体"/>
                <w:szCs w:val="21"/>
              </w:rPr>
              <w:t>职务</w:t>
            </w:r>
          </w:p>
        </w:tc>
        <w:tc>
          <w:tcPr>
            <w:tcW w:w="1323" w:type="dxa"/>
            <w:vAlign w:val="center"/>
          </w:tcPr>
          <w:p>
            <w:pPr>
              <w:tabs>
                <w:tab w:val="left" w:pos="9135"/>
              </w:tabs>
              <w:adjustRightInd w:val="0"/>
              <w:snapToGrid w:val="0"/>
              <w:spacing w:line="240" w:lineRule="atLeast"/>
              <w:jc w:val="center"/>
              <w:rPr>
                <w:rFonts w:ascii="宋体"/>
                <w:szCs w:val="21"/>
              </w:rPr>
            </w:pPr>
            <w:r>
              <w:rPr>
                <w:rFonts w:hint="eastAsia" w:ascii="宋体" w:hAnsi="宋体"/>
                <w:szCs w:val="21"/>
              </w:rPr>
              <w:t>职称</w:t>
            </w:r>
          </w:p>
        </w:tc>
        <w:tc>
          <w:tcPr>
            <w:tcW w:w="907" w:type="dxa"/>
            <w:vMerge w:val="continue"/>
          </w:tcPr>
          <w:p>
            <w:pPr>
              <w:tabs>
                <w:tab w:val="left" w:pos="9135"/>
              </w:tabs>
              <w:adjustRightInd w:val="0"/>
              <w:snapToGrid w:val="0"/>
              <w:spacing w:line="240" w:lineRule="atLeas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045" w:type="dxa"/>
          </w:tcPr>
          <w:p>
            <w:pPr>
              <w:tabs>
                <w:tab w:val="left" w:pos="9135"/>
              </w:tabs>
              <w:adjustRightInd w:val="0"/>
              <w:snapToGrid w:val="0"/>
              <w:spacing w:line="240" w:lineRule="atLeast"/>
              <w:rPr>
                <w:rFonts w:ascii="宋体"/>
                <w:szCs w:val="21"/>
              </w:rPr>
            </w:pPr>
            <w:r>
              <w:rPr>
                <w:rFonts w:ascii="宋体" w:hAnsi="宋体"/>
                <w:szCs w:val="21"/>
              </w:rPr>
              <w:t>2014</w:t>
            </w:r>
            <w:r>
              <w:rPr>
                <w:rFonts w:hint="eastAsia" w:ascii="宋体" w:hAnsi="宋体"/>
                <w:szCs w:val="21"/>
              </w:rPr>
              <w:t>年</w:t>
            </w:r>
            <w:r>
              <w:rPr>
                <w:rFonts w:ascii="宋体" w:hAnsi="宋体"/>
                <w:szCs w:val="21"/>
              </w:rPr>
              <w:t>11</w:t>
            </w:r>
            <w:r>
              <w:rPr>
                <w:rFonts w:hint="eastAsia" w:ascii="宋体" w:hAnsi="宋体"/>
                <w:szCs w:val="21"/>
              </w:rPr>
              <w:t>月</w:t>
            </w:r>
            <w:r>
              <w:rPr>
                <w:rFonts w:ascii="宋体" w:hAnsi="宋体"/>
                <w:szCs w:val="21"/>
              </w:rPr>
              <w:t>30</w:t>
            </w:r>
            <w:r>
              <w:rPr>
                <w:rFonts w:hint="eastAsia" w:ascii="宋体" w:hAnsi="宋体"/>
                <w:szCs w:val="21"/>
              </w:rPr>
              <w:t>日</w:t>
            </w:r>
          </w:p>
        </w:tc>
        <w:tc>
          <w:tcPr>
            <w:tcW w:w="2739" w:type="dxa"/>
          </w:tcPr>
          <w:p>
            <w:pPr>
              <w:tabs>
                <w:tab w:val="left" w:pos="9135"/>
              </w:tabs>
              <w:adjustRightInd w:val="0"/>
              <w:snapToGrid w:val="0"/>
              <w:spacing w:line="240" w:lineRule="atLeast"/>
              <w:jc w:val="center"/>
              <w:rPr>
                <w:rFonts w:ascii="宋体"/>
                <w:szCs w:val="21"/>
              </w:rPr>
            </w:pPr>
            <w:r>
              <w:rPr>
                <w:rFonts w:hint="eastAsia" w:ascii="宋体" w:hAnsi="宋体"/>
                <w:szCs w:val="21"/>
              </w:rPr>
              <w:t>激发学生学习动力</w:t>
            </w:r>
          </w:p>
        </w:tc>
        <w:tc>
          <w:tcPr>
            <w:tcW w:w="975" w:type="dxa"/>
          </w:tcPr>
          <w:p>
            <w:pPr>
              <w:tabs>
                <w:tab w:val="left" w:pos="9135"/>
              </w:tabs>
              <w:adjustRightInd w:val="0"/>
              <w:snapToGrid w:val="0"/>
              <w:spacing w:line="240" w:lineRule="atLeast"/>
              <w:jc w:val="center"/>
              <w:rPr>
                <w:rFonts w:ascii="宋体"/>
                <w:szCs w:val="21"/>
              </w:rPr>
            </w:pPr>
            <w:r>
              <w:rPr>
                <w:rFonts w:hint="eastAsia" w:ascii="宋体" w:hAnsi="宋体"/>
                <w:szCs w:val="21"/>
              </w:rPr>
              <w:t>邹国强</w:t>
            </w:r>
          </w:p>
        </w:tc>
        <w:tc>
          <w:tcPr>
            <w:tcW w:w="1271" w:type="dxa"/>
          </w:tcPr>
          <w:p>
            <w:pPr>
              <w:tabs>
                <w:tab w:val="left" w:pos="9135"/>
              </w:tabs>
              <w:adjustRightInd w:val="0"/>
              <w:snapToGrid w:val="0"/>
              <w:spacing w:line="240" w:lineRule="atLeast"/>
              <w:jc w:val="center"/>
              <w:rPr>
                <w:rFonts w:ascii="宋体"/>
                <w:szCs w:val="21"/>
              </w:rPr>
            </w:pPr>
            <w:r>
              <w:rPr>
                <w:rFonts w:hint="eastAsia" w:ascii="宋体" w:hAnsi="宋体"/>
                <w:szCs w:val="21"/>
              </w:rPr>
              <w:t>副校长</w:t>
            </w:r>
          </w:p>
        </w:tc>
        <w:tc>
          <w:tcPr>
            <w:tcW w:w="1323" w:type="dxa"/>
          </w:tcPr>
          <w:p>
            <w:pPr>
              <w:tabs>
                <w:tab w:val="left" w:pos="9135"/>
              </w:tabs>
              <w:adjustRightInd w:val="0"/>
              <w:snapToGrid w:val="0"/>
              <w:spacing w:line="240" w:lineRule="atLeast"/>
              <w:jc w:val="center"/>
              <w:rPr>
                <w:rFonts w:ascii="宋体"/>
                <w:szCs w:val="21"/>
              </w:rPr>
            </w:pPr>
            <w:r>
              <w:rPr>
                <w:rFonts w:hint="eastAsia" w:ascii="宋体" w:hAnsi="宋体"/>
                <w:szCs w:val="21"/>
              </w:rPr>
              <w:t>中学高级</w:t>
            </w:r>
          </w:p>
        </w:tc>
        <w:tc>
          <w:tcPr>
            <w:tcW w:w="907" w:type="dxa"/>
          </w:tcPr>
          <w:p>
            <w:pPr>
              <w:tabs>
                <w:tab w:val="left" w:pos="9135"/>
              </w:tabs>
              <w:adjustRightInd w:val="0"/>
              <w:snapToGrid w:val="0"/>
              <w:spacing w:line="240" w:lineRule="atLeast"/>
              <w:jc w:val="center"/>
              <w:rPr>
                <w:rFonts w:ascii="宋体" w:hAnsi="宋体"/>
                <w:szCs w:val="21"/>
              </w:rPr>
            </w:pPr>
            <w:r>
              <w:rPr>
                <w:rFonts w:ascii="宋体" w:hAnsi="宋体"/>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045" w:type="dxa"/>
          </w:tcPr>
          <w:p>
            <w:pPr>
              <w:tabs>
                <w:tab w:val="left" w:pos="9135"/>
              </w:tabs>
              <w:adjustRightInd w:val="0"/>
              <w:snapToGrid w:val="0"/>
              <w:spacing w:line="240" w:lineRule="atLeast"/>
              <w:rPr>
                <w:rFonts w:ascii="宋体"/>
                <w:szCs w:val="21"/>
              </w:rPr>
            </w:pPr>
            <w:r>
              <w:rPr>
                <w:rFonts w:ascii="宋体" w:hAnsi="宋体"/>
                <w:szCs w:val="21"/>
              </w:rPr>
              <w:t>2015</w:t>
            </w:r>
            <w:r>
              <w:rPr>
                <w:rFonts w:hint="eastAsia" w:ascii="宋体" w:hAnsi="宋体"/>
                <w:szCs w:val="21"/>
              </w:rPr>
              <w:t>年</w:t>
            </w:r>
            <w:r>
              <w:rPr>
                <w:rFonts w:ascii="宋体" w:hAnsi="宋体"/>
                <w:szCs w:val="21"/>
              </w:rPr>
              <w:t>5</w:t>
            </w:r>
            <w:r>
              <w:rPr>
                <w:rFonts w:hint="eastAsia" w:ascii="宋体" w:hAnsi="宋体"/>
                <w:szCs w:val="21"/>
              </w:rPr>
              <w:t>月</w:t>
            </w:r>
            <w:r>
              <w:rPr>
                <w:rFonts w:ascii="宋体" w:hAnsi="宋体"/>
                <w:szCs w:val="21"/>
              </w:rPr>
              <w:t>10</w:t>
            </w:r>
            <w:r>
              <w:rPr>
                <w:rFonts w:hint="eastAsia" w:ascii="宋体" w:hAnsi="宋体"/>
                <w:szCs w:val="21"/>
              </w:rPr>
              <w:t>日</w:t>
            </w:r>
          </w:p>
        </w:tc>
        <w:tc>
          <w:tcPr>
            <w:tcW w:w="2739" w:type="dxa"/>
          </w:tcPr>
          <w:p>
            <w:pPr>
              <w:tabs>
                <w:tab w:val="left" w:pos="9135"/>
              </w:tabs>
              <w:adjustRightInd w:val="0"/>
              <w:snapToGrid w:val="0"/>
              <w:spacing w:line="240" w:lineRule="atLeast"/>
              <w:jc w:val="center"/>
              <w:rPr>
                <w:rFonts w:ascii="宋体"/>
                <w:szCs w:val="21"/>
              </w:rPr>
            </w:pPr>
            <w:r>
              <w:rPr>
                <w:rFonts w:hint="eastAsia" w:ascii="宋体" w:hAnsi="宋体"/>
                <w:szCs w:val="21"/>
              </w:rPr>
              <w:t>高二学生学情总结</w:t>
            </w:r>
          </w:p>
        </w:tc>
        <w:tc>
          <w:tcPr>
            <w:tcW w:w="975" w:type="dxa"/>
          </w:tcPr>
          <w:p>
            <w:pPr>
              <w:tabs>
                <w:tab w:val="left" w:pos="9135"/>
              </w:tabs>
              <w:adjustRightInd w:val="0"/>
              <w:snapToGrid w:val="0"/>
              <w:spacing w:line="240" w:lineRule="atLeast"/>
              <w:jc w:val="center"/>
              <w:rPr>
                <w:rFonts w:ascii="宋体"/>
                <w:szCs w:val="21"/>
              </w:rPr>
            </w:pPr>
            <w:r>
              <w:rPr>
                <w:rFonts w:hint="eastAsia" w:ascii="宋体" w:hAnsi="宋体"/>
                <w:szCs w:val="21"/>
              </w:rPr>
              <w:t>孙煜</w:t>
            </w:r>
          </w:p>
        </w:tc>
        <w:tc>
          <w:tcPr>
            <w:tcW w:w="1271" w:type="dxa"/>
          </w:tcPr>
          <w:p>
            <w:pPr>
              <w:tabs>
                <w:tab w:val="left" w:pos="9135"/>
              </w:tabs>
              <w:adjustRightInd w:val="0"/>
              <w:snapToGrid w:val="0"/>
              <w:spacing w:line="240" w:lineRule="atLeast"/>
              <w:jc w:val="center"/>
              <w:rPr>
                <w:rFonts w:ascii="宋体"/>
                <w:szCs w:val="21"/>
              </w:rPr>
            </w:pPr>
            <w:r>
              <w:rPr>
                <w:rFonts w:hint="eastAsia" w:ascii="宋体" w:hAnsi="宋体"/>
                <w:szCs w:val="21"/>
              </w:rPr>
              <w:t>副校长</w:t>
            </w:r>
          </w:p>
        </w:tc>
        <w:tc>
          <w:tcPr>
            <w:tcW w:w="1323" w:type="dxa"/>
          </w:tcPr>
          <w:p>
            <w:pPr>
              <w:tabs>
                <w:tab w:val="left" w:pos="9135"/>
              </w:tabs>
              <w:adjustRightInd w:val="0"/>
              <w:snapToGrid w:val="0"/>
              <w:spacing w:line="240" w:lineRule="atLeast"/>
              <w:jc w:val="center"/>
              <w:rPr>
                <w:rFonts w:ascii="宋体"/>
                <w:szCs w:val="21"/>
              </w:rPr>
            </w:pPr>
            <w:r>
              <w:rPr>
                <w:rFonts w:hint="eastAsia" w:ascii="宋体" w:hAnsi="宋体"/>
                <w:szCs w:val="21"/>
              </w:rPr>
              <w:t>中学高级</w:t>
            </w:r>
          </w:p>
        </w:tc>
        <w:tc>
          <w:tcPr>
            <w:tcW w:w="907" w:type="dxa"/>
          </w:tcPr>
          <w:p>
            <w:pPr>
              <w:tabs>
                <w:tab w:val="left" w:pos="9135"/>
              </w:tabs>
              <w:adjustRightInd w:val="0"/>
              <w:snapToGrid w:val="0"/>
              <w:spacing w:line="240" w:lineRule="atLeast"/>
              <w:jc w:val="center"/>
              <w:rPr>
                <w:rFonts w:ascii="宋体" w:hAnsi="宋体"/>
                <w:szCs w:val="21"/>
              </w:rPr>
            </w:pPr>
            <w:r>
              <w:rPr>
                <w:rFonts w:ascii="宋体" w:hAnsi="宋体"/>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045" w:type="dxa"/>
          </w:tcPr>
          <w:p>
            <w:pPr>
              <w:tabs>
                <w:tab w:val="left" w:pos="9135"/>
              </w:tabs>
              <w:adjustRightInd w:val="0"/>
              <w:snapToGrid w:val="0"/>
              <w:spacing w:line="240" w:lineRule="atLeast"/>
              <w:rPr>
                <w:rFonts w:ascii="宋体"/>
                <w:szCs w:val="21"/>
              </w:rPr>
            </w:pPr>
            <w:r>
              <w:rPr>
                <w:rFonts w:ascii="宋体" w:hAnsi="宋体"/>
                <w:szCs w:val="21"/>
              </w:rPr>
              <w:t>2015</w:t>
            </w:r>
            <w:r>
              <w:rPr>
                <w:rFonts w:hint="eastAsia" w:ascii="宋体" w:hAnsi="宋体"/>
                <w:szCs w:val="21"/>
              </w:rPr>
              <w:t>年</w:t>
            </w:r>
            <w:r>
              <w:rPr>
                <w:rFonts w:ascii="宋体" w:hAnsi="宋体"/>
                <w:szCs w:val="21"/>
              </w:rPr>
              <w:t>5</w:t>
            </w:r>
            <w:r>
              <w:rPr>
                <w:rFonts w:hint="eastAsia" w:ascii="宋体" w:hAnsi="宋体"/>
                <w:szCs w:val="21"/>
              </w:rPr>
              <w:t>月</w:t>
            </w:r>
            <w:r>
              <w:rPr>
                <w:rFonts w:ascii="宋体" w:hAnsi="宋体"/>
                <w:szCs w:val="21"/>
              </w:rPr>
              <w:t>10</w:t>
            </w:r>
            <w:r>
              <w:rPr>
                <w:rFonts w:hint="eastAsia" w:ascii="宋体" w:hAnsi="宋体"/>
                <w:szCs w:val="21"/>
              </w:rPr>
              <w:t>日</w:t>
            </w:r>
          </w:p>
        </w:tc>
        <w:tc>
          <w:tcPr>
            <w:tcW w:w="2739" w:type="dxa"/>
          </w:tcPr>
          <w:p>
            <w:pPr>
              <w:tabs>
                <w:tab w:val="left" w:pos="9135"/>
              </w:tabs>
              <w:adjustRightInd w:val="0"/>
              <w:snapToGrid w:val="0"/>
              <w:spacing w:line="240" w:lineRule="atLeast"/>
              <w:jc w:val="center"/>
              <w:rPr>
                <w:rFonts w:ascii="宋体"/>
                <w:szCs w:val="21"/>
              </w:rPr>
            </w:pPr>
            <w:r>
              <w:rPr>
                <w:rFonts w:hint="eastAsia" w:ascii="宋体" w:hAnsi="宋体"/>
                <w:szCs w:val="21"/>
              </w:rPr>
              <w:t>高一期中总结</w:t>
            </w:r>
          </w:p>
        </w:tc>
        <w:tc>
          <w:tcPr>
            <w:tcW w:w="975" w:type="dxa"/>
          </w:tcPr>
          <w:p>
            <w:pPr>
              <w:tabs>
                <w:tab w:val="left" w:pos="9135"/>
              </w:tabs>
              <w:adjustRightInd w:val="0"/>
              <w:snapToGrid w:val="0"/>
              <w:spacing w:line="240" w:lineRule="atLeast"/>
              <w:jc w:val="center"/>
              <w:rPr>
                <w:rFonts w:ascii="宋体"/>
                <w:szCs w:val="21"/>
              </w:rPr>
            </w:pPr>
            <w:r>
              <w:rPr>
                <w:rFonts w:hint="eastAsia" w:ascii="宋体" w:hAnsi="宋体"/>
                <w:szCs w:val="21"/>
              </w:rPr>
              <w:t>邹国强</w:t>
            </w:r>
          </w:p>
        </w:tc>
        <w:tc>
          <w:tcPr>
            <w:tcW w:w="1271" w:type="dxa"/>
          </w:tcPr>
          <w:p>
            <w:pPr>
              <w:tabs>
                <w:tab w:val="left" w:pos="9135"/>
              </w:tabs>
              <w:adjustRightInd w:val="0"/>
              <w:snapToGrid w:val="0"/>
              <w:spacing w:line="240" w:lineRule="atLeast"/>
              <w:jc w:val="center"/>
              <w:rPr>
                <w:rFonts w:ascii="宋体"/>
                <w:szCs w:val="21"/>
              </w:rPr>
            </w:pPr>
            <w:r>
              <w:rPr>
                <w:rFonts w:hint="eastAsia" w:ascii="宋体" w:hAnsi="宋体"/>
                <w:szCs w:val="21"/>
              </w:rPr>
              <w:t>副校长</w:t>
            </w:r>
          </w:p>
        </w:tc>
        <w:tc>
          <w:tcPr>
            <w:tcW w:w="1323" w:type="dxa"/>
          </w:tcPr>
          <w:p>
            <w:pPr>
              <w:tabs>
                <w:tab w:val="left" w:pos="9135"/>
              </w:tabs>
              <w:adjustRightInd w:val="0"/>
              <w:snapToGrid w:val="0"/>
              <w:spacing w:line="240" w:lineRule="atLeast"/>
              <w:jc w:val="center"/>
              <w:rPr>
                <w:rFonts w:ascii="宋体"/>
                <w:szCs w:val="21"/>
              </w:rPr>
            </w:pPr>
            <w:r>
              <w:rPr>
                <w:rFonts w:hint="eastAsia" w:ascii="宋体" w:hAnsi="宋体"/>
                <w:szCs w:val="21"/>
              </w:rPr>
              <w:t>中学高级</w:t>
            </w:r>
          </w:p>
        </w:tc>
        <w:tc>
          <w:tcPr>
            <w:tcW w:w="907" w:type="dxa"/>
          </w:tcPr>
          <w:p>
            <w:pPr>
              <w:tabs>
                <w:tab w:val="left" w:pos="9135"/>
              </w:tabs>
              <w:adjustRightInd w:val="0"/>
              <w:snapToGrid w:val="0"/>
              <w:spacing w:line="240" w:lineRule="atLeast"/>
              <w:jc w:val="center"/>
              <w:rPr>
                <w:rFonts w:ascii="宋体" w:hAnsi="宋体"/>
                <w:szCs w:val="21"/>
              </w:rPr>
            </w:pPr>
            <w:r>
              <w:rPr>
                <w:rFonts w:ascii="宋体" w:hAnsi="宋体"/>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045" w:type="dxa"/>
          </w:tcPr>
          <w:p>
            <w:pPr>
              <w:tabs>
                <w:tab w:val="left" w:pos="9135"/>
              </w:tabs>
              <w:adjustRightInd w:val="0"/>
              <w:snapToGrid w:val="0"/>
              <w:spacing w:line="240" w:lineRule="atLeast"/>
              <w:rPr>
                <w:rFonts w:ascii="宋体"/>
                <w:szCs w:val="21"/>
              </w:rPr>
            </w:pPr>
            <w:r>
              <w:rPr>
                <w:rFonts w:ascii="宋体" w:hAnsi="宋体"/>
                <w:szCs w:val="21"/>
              </w:rPr>
              <w:t>2015</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2</w:t>
            </w:r>
            <w:r>
              <w:rPr>
                <w:rFonts w:hint="eastAsia" w:ascii="宋体" w:hAnsi="宋体"/>
                <w:szCs w:val="21"/>
              </w:rPr>
              <w:t>日</w:t>
            </w:r>
          </w:p>
        </w:tc>
        <w:tc>
          <w:tcPr>
            <w:tcW w:w="2739" w:type="dxa"/>
          </w:tcPr>
          <w:p>
            <w:pPr>
              <w:tabs>
                <w:tab w:val="left" w:pos="9135"/>
              </w:tabs>
              <w:adjustRightInd w:val="0"/>
              <w:snapToGrid w:val="0"/>
              <w:spacing w:line="240" w:lineRule="atLeast"/>
              <w:jc w:val="center"/>
              <w:rPr>
                <w:rFonts w:ascii="宋体"/>
                <w:szCs w:val="21"/>
              </w:rPr>
            </w:pPr>
            <w:r>
              <w:rPr>
                <w:rFonts w:hint="eastAsia" w:ascii="宋体" w:hAnsi="宋体"/>
                <w:szCs w:val="21"/>
              </w:rPr>
              <w:t>学校历史简介</w:t>
            </w:r>
          </w:p>
        </w:tc>
        <w:tc>
          <w:tcPr>
            <w:tcW w:w="975" w:type="dxa"/>
          </w:tcPr>
          <w:p>
            <w:pPr>
              <w:tabs>
                <w:tab w:val="left" w:pos="9135"/>
              </w:tabs>
              <w:adjustRightInd w:val="0"/>
              <w:snapToGrid w:val="0"/>
              <w:spacing w:line="240" w:lineRule="atLeast"/>
              <w:jc w:val="center"/>
              <w:rPr>
                <w:rFonts w:ascii="宋体"/>
                <w:szCs w:val="21"/>
              </w:rPr>
            </w:pPr>
            <w:r>
              <w:rPr>
                <w:rFonts w:hint="eastAsia" w:ascii="宋体" w:hAnsi="宋体"/>
                <w:szCs w:val="21"/>
              </w:rPr>
              <w:t>沈纯芳</w:t>
            </w:r>
          </w:p>
        </w:tc>
        <w:tc>
          <w:tcPr>
            <w:tcW w:w="1271" w:type="dxa"/>
          </w:tcPr>
          <w:p>
            <w:pPr>
              <w:tabs>
                <w:tab w:val="left" w:pos="9135"/>
              </w:tabs>
              <w:adjustRightInd w:val="0"/>
              <w:snapToGrid w:val="0"/>
              <w:spacing w:line="240" w:lineRule="atLeast"/>
              <w:jc w:val="center"/>
              <w:rPr>
                <w:rFonts w:ascii="宋体"/>
                <w:szCs w:val="21"/>
              </w:rPr>
            </w:pPr>
            <w:r>
              <w:rPr>
                <w:rFonts w:hint="eastAsia" w:ascii="宋体" w:hAnsi="宋体"/>
                <w:szCs w:val="21"/>
              </w:rPr>
              <w:t>校长</w:t>
            </w:r>
          </w:p>
        </w:tc>
        <w:tc>
          <w:tcPr>
            <w:tcW w:w="1323" w:type="dxa"/>
          </w:tcPr>
          <w:p>
            <w:pPr>
              <w:tabs>
                <w:tab w:val="left" w:pos="9135"/>
              </w:tabs>
              <w:adjustRightInd w:val="0"/>
              <w:snapToGrid w:val="0"/>
              <w:spacing w:line="240" w:lineRule="atLeast"/>
              <w:jc w:val="center"/>
              <w:rPr>
                <w:rFonts w:ascii="宋体"/>
                <w:szCs w:val="21"/>
              </w:rPr>
            </w:pPr>
            <w:r>
              <w:rPr>
                <w:rFonts w:hint="eastAsia" w:ascii="宋体" w:hAnsi="宋体"/>
                <w:szCs w:val="21"/>
              </w:rPr>
              <w:t>中学高级</w:t>
            </w:r>
          </w:p>
        </w:tc>
        <w:tc>
          <w:tcPr>
            <w:tcW w:w="907" w:type="dxa"/>
          </w:tcPr>
          <w:p>
            <w:pPr>
              <w:tabs>
                <w:tab w:val="left" w:pos="9135"/>
              </w:tabs>
              <w:adjustRightInd w:val="0"/>
              <w:snapToGrid w:val="0"/>
              <w:spacing w:line="240" w:lineRule="atLeast"/>
              <w:jc w:val="center"/>
              <w:rPr>
                <w:rFonts w:ascii="宋体" w:hAnsi="宋体"/>
                <w:szCs w:val="21"/>
              </w:rPr>
            </w:pPr>
            <w:r>
              <w:rPr>
                <w:rFonts w:ascii="宋体" w:hAnsi="宋体"/>
                <w:szCs w:val="21"/>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045" w:type="dxa"/>
          </w:tcPr>
          <w:p>
            <w:pPr>
              <w:tabs>
                <w:tab w:val="left" w:pos="9135"/>
              </w:tabs>
              <w:adjustRightInd w:val="0"/>
              <w:snapToGrid w:val="0"/>
              <w:spacing w:line="240" w:lineRule="atLeast"/>
              <w:rPr>
                <w:rFonts w:ascii="宋体"/>
                <w:szCs w:val="21"/>
              </w:rPr>
            </w:pPr>
            <w:r>
              <w:rPr>
                <w:rFonts w:ascii="宋体" w:hAnsi="宋体"/>
                <w:szCs w:val="21"/>
              </w:rPr>
              <w:t>2015</w:t>
            </w:r>
            <w:r>
              <w:rPr>
                <w:rFonts w:hint="eastAsia" w:ascii="宋体" w:hAnsi="宋体"/>
                <w:szCs w:val="21"/>
              </w:rPr>
              <w:t>年</w:t>
            </w:r>
            <w:r>
              <w:rPr>
                <w:rFonts w:ascii="宋体" w:hAnsi="宋体"/>
                <w:szCs w:val="21"/>
              </w:rPr>
              <w:t>11</w:t>
            </w:r>
            <w:r>
              <w:rPr>
                <w:rFonts w:hint="eastAsia" w:ascii="宋体" w:hAnsi="宋体"/>
                <w:szCs w:val="21"/>
              </w:rPr>
              <w:t>月</w:t>
            </w:r>
            <w:r>
              <w:rPr>
                <w:rFonts w:ascii="宋体" w:hAnsi="宋体"/>
                <w:szCs w:val="21"/>
              </w:rPr>
              <w:t>22</w:t>
            </w:r>
            <w:r>
              <w:rPr>
                <w:rFonts w:hint="eastAsia" w:ascii="宋体" w:hAnsi="宋体"/>
                <w:szCs w:val="21"/>
              </w:rPr>
              <w:t>日</w:t>
            </w:r>
          </w:p>
        </w:tc>
        <w:tc>
          <w:tcPr>
            <w:tcW w:w="2739" w:type="dxa"/>
          </w:tcPr>
          <w:p>
            <w:pPr>
              <w:tabs>
                <w:tab w:val="left" w:pos="9135"/>
              </w:tabs>
              <w:adjustRightInd w:val="0"/>
              <w:snapToGrid w:val="0"/>
              <w:spacing w:line="240" w:lineRule="atLeast"/>
              <w:jc w:val="center"/>
              <w:rPr>
                <w:rFonts w:ascii="宋体"/>
                <w:szCs w:val="21"/>
              </w:rPr>
            </w:pPr>
            <w:r>
              <w:rPr>
                <w:rFonts w:hint="eastAsia" w:ascii="宋体" w:hAnsi="宋体"/>
                <w:szCs w:val="21"/>
              </w:rPr>
              <w:t>高二学情介绍</w:t>
            </w:r>
          </w:p>
        </w:tc>
        <w:tc>
          <w:tcPr>
            <w:tcW w:w="975" w:type="dxa"/>
          </w:tcPr>
          <w:p>
            <w:pPr>
              <w:tabs>
                <w:tab w:val="left" w:pos="9135"/>
              </w:tabs>
              <w:adjustRightInd w:val="0"/>
              <w:snapToGrid w:val="0"/>
              <w:spacing w:line="240" w:lineRule="atLeast"/>
              <w:jc w:val="center"/>
              <w:rPr>
                <w:rFonts w:ascii="宋体"/>
                <w:szCs w:val="21"/>
              </w:rPr>
            </w:pPr>
            <w:r>
              <w:rPr>
                <w:rFonts w:hint="eastAsia" w:ascii="宋体" w:hAnsi="宋体"/>
                <w:szCs w:val="21"/>
              </w:rPr>
              <w:t>邹国强</w:t>
            </w:r>
          </w:p>
        </w:tc>
        <w:tc>
          <w:tcPr>
            <w:tcW w:w="1271" w:type="dxa"/>
          </w:tcPr>
          <w:p>
            <w:pPr>
              <w:tabs>
                <w:tab w:val="left" w:pos="9135"/>
              </w:tabs>
              <w:adjustRightInd w:val="0"/>
              <w:snapToGrid w:val="0"/>
              <w:spacing w:line="240" w:lineRule="atLeast"/>
              <w:jc w:val="center"/>
              <w:rPr>
                <w:rFonts w:ascii="宋体"/>
                <w:szCs w:val="21"/>
              </w:rPr>
            </w:pPr>
            <w:r>
              <w:rPr>
                <w:rFonts w:hint="eastAsia" w:ascii="宋体" w:hAnsi="宋体"/>
                <w:szCs w:val="21"/>
              </w:rPr>
              <w:t>副校长</w:t>
            </w:r>
          </w:p>
        </w:tc>
        <w:tc>
          <w:tcPr>
            <w:tcW w:w="1323" w:type="dxa"/>
          </w:tcPr>
          <w:p>
            <w:pPr>
              <w:tabs>
                <w:tab w:val="left" w:pos="9135"/>
              </w:tabs>
              <w:adjustRightInd w:val="0"/>
              <w:snapToGrid w:val="0"/>
              <w:spacing w:line="240" w:lineRule="atLeast"/>
              <w:jc w:val="center"/>
              <w:rPr>
                <w:rFonts w:ascii="宋体"/>
                <w:szCs w:val="21"/>
              </w:rPr>
            </w:pPr>
            <w:r>
              <w:rPr>
                <w:rFonts w:hint="eastAsia" w:ascii="宋体" w:hAnsi="宋体"/>
                <w:szCs w:val="21"/>
              </w:rPr>
              <w:t>中学高级</w:t>
            </w:r>
          </w:p>
        </w:tc>
        <w:tc>
          <w:tcPr>
            <w:tcW w:w="907" w:type="dxa"/>
          </w:tcPr>
          <w:p>
            <w:pPr>
              <w:tabs>
                <w:tab w:val="left" w:pos="9135"/>
              </w:tabs>
              <w:adjustRightInd w:val="0"/>
              <w:snapToGrid w:val="0"/>
              <w:spacing w:line="240" w:lineRule="atLeast"/>
              <w:jc w:val="center"/>
              <w:rPr>
                <w:rFonts w:ascii="宋体" w:hAnsi="宋体"/>
                <w:szCs w:val="21"/>
              </w:rPr>
            </w:pPr>
            <w:r>
              <w:rPr>
                <w:rFonts w:ascii="宋体" w:hAnsi="宋体"/>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045" w:type="dxa"/>
          </w:tcPr>
          <w:p>
            <w:pPr>
              <w:tabs>
                <w:tab w:val="left" w:pos="9135"/>
              </w:tabs>
              <w:adjustRightInd w:val="0"/>
              <w:snapToGrid w:val="0"/>
              <w:spacing w:line="240" w:lineRule="atLeast"/>
              <w:rPr>
                <w:rFonts w:ascii="宋体"/>
                <w:szCs w:val="21"/>
              </w:rPr>
            </w:pPr>
            <w:r>
              <w:rPr>
                <w:rFonts w:ascii="宋体" w:hAnsi="宋体"/>
                <w:szCs w:val="21"/>
              </w:rPr>
              <w:t>2015</w:t>
            </w:r>
            <w:r>
              <w:rPr>
                <w:rFonts w:hint="eastAsia" w:ascii="宋体" w:hAnsi="宋体"/>
                <w:szCs w:val="21"/>
              </w:rPr>
              <w:t>年</w:t>
            </w:r>
            <w:r>
              <w:rPr>
                <w:rFonts w:ascii="宋体" w:hAnsi="宋体"/>
                <w:szCs w:val="21"/>
              </w:rPr>
              <w:t>11</w:t>
            </w:r>
            <w:r>
              <w:rPr>
                <w:rFonts w:hint="eastAsia" w:ascii="宋体" w:hAnsi="宋体"/>
                <w:szCs w:val="21"/>
              </w:rPr>
              <w:t>月</w:t>
            </w:r>
            <w:r>
              <w:rPr>
                <w:rFonts w:ascii="宋体" w:hAnsi="宋体"/>
                <w:szCs w:val="21"/>
              </w:rPr>
              <w:t>22</w:t>
            </w:r>
            <w:r>
              <w:rPr>
                <w:rFonts w:hint="eastAsia" w:ascii="宋体" w:hAnsi="宋体"/>
                <w:szCs w:val="21"/>
              </w:rPr>
              <w:t>日</w:t>
            </w:r>
          </w:p>
        </w:tc>
        <w:tc>
          <w:tcPr>
            <w:tcW w:w="2739" w:type="dxa"/>
          </w:tcPr>
          <w:p>
            <w:pPr>
              <w:tabs>
                <w:tab w:val="left" w:pos="9135"/>
              </w:tabs>
              <w:adjustRightInd w:val="0"/>
              <w:snapToGrid w:val="0"/>
              <w:spacing w:line="240" w:lineRule="atLeast"/>
              <w:jc w:val="center"/>
              <w:rPr>
                <w:rFonts w:ascii="宋体"/>
                <w:szCs w:val="21"/>
              </w:rPr>
            </w:pPr>
            <w:r>
              <w:rPr>
                <w:rFonts w:hint="eastAsia" w:ascii="宋体" w:hAnsi="宋体"/>
                <w:szCs w:val="21"/>
              </w:rPr>
              <w:t>高一期中总结</w:t>
            </w:r>
          </w:p>
        </w:tc>
        <w:tc>
          <w:tcPr>
            <w:tcW w:w="975" w:type="dxa"/>
          </w:tcPr>
          <w:p>
            <w:pPr>
              <w:tabs>
                <w:tab w:val="left" w:pos="9135"/>
              </w:tabs>
              <w:adjustRightInd w:val="0"/>
              <w:snapToGrid w:val="0"/>
              <w:spacing w:line="240" w:lineRule="atLeast"/>
              <w:jc w:val="center"/>
              <w:rPr>
                <w:rFonts w:ascii="宋体"/>
                <w:szCs w:val="21"/>
              </w:rPr>
            </w:pPr>
            <w:r>
              <w:rPr>
                <w:rFonts w:hint="eastAsia" w:ascii="宋体" w:hAnsi="宋体"/>
                <w:szCs w:val="21"/>
              </w:rPr>
              <w:t>陈擎</w:t>
            </w:r>
          </w:p>
        </w:tc>
        <w:tc>
          <w:tcPr>
            <w:tcW w:w="1271" w:type="dxa"/>
          </w:tcPr>
          <w:p>
            <w:pPr>
              <w:tabs>
                <w:tab w:val="left" w:pos="9135"/>
              </w:tabs>
              <w:adjustRightInd w:val="0"/>
              <w:snapToGrid w:val="0"/>
              <w:spacing w:line="240" w:lineRule="atLeast"/>
              <w:jc w:val="center"/>
              <w:rPr>
                <w:rFonts w:ascii="宋体"/>
                <w:szCs w:val="21"/>
              </w:rPr>
            </w:pPr>
            <w:r>
              <w:rPr>
                <w:rFonts w:hint="eastAsia" w:ascii="宋体" w:hAnsi="宋体"/>
                <w:szCs w:val="21"/>
              </w:rPr>
              <w:t>副校长</w:t>
            </w:r>
          </w:p>
        </w:tc>
        <w:tc>
          <w:tcPr>
            <w:tcW w:w="1323" w:type="dxa"/>
          </w:tcPr>
          <w:p>
            <w:pPr>
              <w:tabs>
                <w:tab w:val="left" w:pos="9135"/>
              </w:tabs>
              <w:adjustRightInd w:val="0"/>
              <w:snapToGrid w:val="0"/>
              <w:spacing w:line="240" w:lineRule="atLeast"/>
              <w:jc w:val="center"/>
              <w:rPr>
                <w:rFonts w:ascii="宋体"/>
                <w:szCs w:val="21"/>
              </w:rPr>
            </w:pPr>
            <w:r>
              <w:rPr>
                <w:rFonts w:hint="eastAsia" w:ascii="宋体" w:hAnsi="宋体"/>
                <w:szCs w:val="21"/>
              </w:rPr>
              <w:t>中学高级</w:t>
            </w:r>
          </w:p>
        </w:tc>
        <w:tc>
          <w:tcPr>
            <w:tcW w:w="907" w:type="dxa"/>
          </w:tcPr>
          <w:p>
            <w:pPr>
              <w:tabs>
                <w:tab w:val="left" w:pos="9135"/>
              </w:tabs>
              <w:adjustRightInd w:val="0"/>
              <w:snapToGrid w:val="0"/>
              <w:spacing w:line="240" w:lineRule="atLeast"/>
              <w:jc w:val="center"/>
              <w:rPr>
                <w:rFonts w:ascii="宋体" w:hAnsi="宋体"/>
                <w:szCs w:val="21"/>
              </w:rPr>
            </w:pPr>
            <w:r>
              <w:rPr>
                <w:rFonts w:ascii="宋体" w:hAnsi="宋体"/>
                <w:szCs w:val="21"/>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045" w:type="dxa"/>
          </w:tcPr>
          <w:p>
            <w:pPr>
              <w:tabs>
                <w:tab w:val="left" w:pos="9135"/>
              </w:tabs>
              <w:adjustRightInd w:val="0"/>
              <w:snapToGrid w:val="0"/>
              <w:spacing w:line="240" w:lineRule="atLeast"/>
              <w:rPr>
                <w:rFonts w:ascii="宋体"/>
                <w:szCs w:val="21"/>
              </w:rPr>
            </w:pPr>
            <w:r>
              <w:rPr>
                <w:rFonts w:ascii="宋体" w:hAnsi="宋体"/>
                <w:szCs w:val="21"/>
              </w:rPr>
              <w:t>2016</w:t>
            </w:r>
            <w:r>
              <w:rPr>
                <w:rFonts w:hint="eastAsia" w:ascii="宋体" w:hAnsi="宋体"/>
                <w:szCs w:val="21"/>
              </w:rPr>
              <w:t>年</w:t>
            </w:r>
            <w:r>
              <w:rPr>
                <w:rFonts w:ascii="宋体" w:hAnsi="宋体"/>
                <w:szCs w:val="21"/>
              </w:rPr>
              <w:t>4</w:t>
            </w:r>
            <w:r>
              <w:rPr>
                <w:rFonts w:hint="eastAsia" w:ascii="宋体" w:hAnsi="宋体"/>
                <w:szCs w:val="21"/>
              </w:rPr>
              <w:t>月</w:t>
            </w:r>
            <w:r>
              <w:rPr>
                <w:rFonts w:ascii="宋体" w:hAnsi="宋体"/>
                <w:szCs w:val="21"/>
              </w:rPr>
              <w:t>10</w:t>
            </w:r>
            <w:r>
              <w:rPr>
                <w:rFonts w:hint="eastAsia" w:ascii="宋体" w:hAnsi="宋体"/>
                <w:szCs w:val="21"/>
              </w:rPr>
              <w:t>日</w:t>
            </w:r>
          </w:p>
        </w:tc>
        <w:tc>
          <w:tcPr>
            <w:tcW w:w="2739" w:type="dxa"/>
          </w:tcPr>
          <w:p>
            <w:pPr>
              <w:tabs>
                <w:tab w:val="left" w:pos="9135"/>
              </w:tabs>
              <w:adjustRightInd w:val="0"/>
              <w:snapToGrid w:val="0"/>
              <w:spacing w:line="240" w:lineRule="atLeast"/>
              <w:jc w:val="center"/>
              <w:rPr>
                <w:rFonts w:ascii="宋体"/>
                <w:szCs w:val="21"/>
              </w:rPr>
            </w:pPr>
            <w:r>
              <w:rPr>
                <w:rFonts w:hint="eastAsia" w:ascii="宋体" w:hAnsi="宋体" w:cs="宋体"/>
                <w:szCs w:val="21"/>
              </w:rPr>
              <w:t>亲子沟通从心开始</w:t>
            </w:r>
          </w:p>
        </w:tc>
        <w:tc>
          <w:tcPr>
            <w:tcW w:w="975" w:type="dxa"/>
          </w:tcPr>
          <w:p>
            <w:pPr>
              <w:tabs>
                <w:tab w:val="left" w:pos="9135"/>
              </w:tabs>
              <w:adjustRightInd w:val="0"/>
              <w:snapToGrid w:val="0"/>
              <w:spacing w:line="240" w:lineRule="atLeast"/>
              <w:jc w:val="center"/>
              <w:rPr>
                <w:rFonts w:ascii="宋体"/>
                <w:szCs w:val="21"/>
              </w:rPr>
            </w:pPr>
            <w:r>
              <w:rPr>
                <w:rFonts w:hint="eastAsia" w:ascii="宋体" w:hAnsi="宋体" w:cs="宋体"/>
                <w:szCs w:val="21"/>
              </w:rPr>
              <w:t>赵俊</w:t>
            </w:r>
          </w:p>
        </w:tc>
        <w:tc>
          <w:tcPr>
            <w:tcW w:w="1271" w:type="dxa"/>
          </w:tcPr>
          <w:p>
            <w:pPr>
              <w:tabs>
                <w:tab w:val="left" w:pos="9135"/>
              </w:tabs>
              <w:adjustRightInd w:val="0"/>
              <w:snapToGrid w:val="0"/>
              <w:spacing w:line="240" w:lineRule="atLeast"/>
              <w:jc w:val="center"/>
              <w:rPr>
                <w:rFonts w:ascii="宋体"/>
                <w:szCs w:val="21"/>
              </w:rPr>
            </w:pPr>
            <w:r>
              <w:rPr>
                <w:rFonts w:hint="eastAsia" w:ascii="宋体" w:hAnsi="宋体"/>
                <w:szCs w:val="21"/>
              </w:rPr>
              <w:t>教师</w:t>
            </w:r>
          </w:p>
        </w:tc>
        <w:tc>
          <w:tcPr>
            <w:tcW w:w="1323" w:type="dxa"/>
          </w:tcPr>
          <w:p>
            <w:pPr>
              <w:tabs>
                <w:tab w:val="left" w:pos="9135"/>
              </w:tabs>
              <w:adjustRightInd w:val="0"/>
              <w:snapToGrid w:val="0"/>
              <w:spacing w:line="240" w:lineRule="atLeast"/>
              <w:jc w:val="center"/>
              <w:rPr>
                <w:rFonts w:ascii="宋体"/>
                <w:szCs w:val="21"/>
              </w:rPr>
            </w:pPr>
            <w:r>
              <w:rPr>
                <w:rFonts w:hint="eastAsia" w:ascii="宋体" w:hAnsi="宋体"/>
                <w:szCs w:val="21"/>
              </w:rPr>
              <w:t>中学一级</w:t>
            </w:r>
          </w:p>
        </w:tc>
        <w:tc>
          <w:tcPr>
            <w:tcW w:w="907" w:type="dxa"/>
          </w:tcPr>
          <w:p>
            <w:pPr>
              <w:tabs>
                <w:tab w:val="left" w:pos="9135"/>
              </w:tabs>
              <w:adjustRightInd w:val="0"/>
              <w:snapToGrid w:val="0"/>
              <w:spacing w:line="240" w:lineRule="atLeast"/>
              <w:jc w:val="center"/>
              <w:rPr>
                <w:rFonts w:ascii="宋体" w:hAnsi="宋体"/>
                <w:szCs w:val="21"/>
              </w:rPr>
            </w:pPr>
            <w:r>
              <w:rPr>
                <w:rFonts w:ascii="宋体" w:hAnsi="宋体"/>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045" w:type="dxa"/>
          </w:tcPr>
          <w:p>
            <w:pPr>
              <w:tabs>
                <w:tab w:val="left" w:pos="9135"/>
              </w:tabs>
              <w:adjustRightInd w:val="0"/>
              <w:snapToGrid w:val="0"/>
              <w:spacing w:line="240" w:lineRule="atLeast"/>
              <w:rPr>
                <w:rFonts w:ascii="宋体"/>
                <w:szCs w:val="21"/>
              </w:rPr>
            </w:pPr>
            <w:r>
              <w:rPr>
                <w:rFonts w:ascii="宋体" w:hAnsi="宋体"/>
                <w:szCs w:val="21"/>
              </w:rPr>
              <w:t>2016</w:t>
            </w:r>
            <w:r>
              <w:rPr>
                <w:rFonts w:hint="eastAsia" w:ascii="宋体" w:hAnsi="宋体"/>
                <w:szCs w:val="21"/>
              </w:rPr>
              <w:t>年</w:t>
            </w:r>
            <w:r>
              <w:rPr>
                <w:rFonts w:ascii="宋体" w:hAnsi="宋体"/>
                <w:szCs w:val="21"/>
              </w:rPr>
              <w:t>11</w:t>
            </w:r>
            <w:r>
              <w:rPr>
                <w:rFonts w:hint="eastAsia" w:ascii="宋体" w:hAnsi="宋体"/>
                <w:szCs w:val="21"/>
              </w:rPr>
              <w:t>月</w:t>
            </w:r>
            <w:r>
              <w:rPr>
                <w:rFonts w:ascii="宋体" w:hAnsi="宋体"/>
                <w:szCs w:val="21"/>
              </w:rPr>
              <w:t>18</w:t>
            </w:r>
            <w:r>
              <w:rPr>
                <w:rFonts w:hint="eastAsia" w:ascii="宋体" w:hAnsi="宋体"/>
                <w:szCs w:val="21"/>
              </w:rPr>
              <w:t>日</w:t>
            </w:r>
          </w:p>
        </w:tc>
        <w:tc>
          <w:tcPr>
            <w:tcW w:w="2739" w:type="dxa"/>
          </w:tcPr>
          <w:p>
            <w:pPr>
              <w:tabs>
                <w:tab w:val="left" w:pos="9135"/>
              </w:tabs>
              <w:adjustRightInd w:val="0"/>
              <w:snapToGrid w:val="0"/>
              <w:spacing w:line="240" w:lineRule="atLeast"/>
              <w:jc w:val="center"/>
              <w:rPr>
                <w:rFonts w:ascii="宋体"/>
                <w:szCs w:val="21"/>
              </w:rPr>
            </w:pPr>
            <w:r>
              <w:rPr>
                <w:rFonts w:hint="eastAsia" w:ascii="宋体" w:hAnsi="宋体"/>
                <w:szCs w:val="21"/>
              </w:rPr>
              <w:t>高三文化班学情分析</w:t>
            </w:r>
          </w:p>
        </w:tc>
        <w:tc>
          <w:tcPr>
            <w:tcW w:w="975" w:type="dxa"/>
          </w:tcPr>
          <w:p>
            <w:pPr>
              <w:tabs>
                <w:tab w:val="left" w:pos="9135"/>
              </w:tabs>
              <w:adjustRightInd w:val="0"/>
              <w:snapToGrid w:val="0"/>
              <w:spacing w:line="240" w:lineRule="atLeast"/>
              <w:jc w:val="center"/>
              <w:rPr>
                <w:rFonts w:ascii="宋体"/>
                <w:szCs w:val="21"/>
              </w:rPr>
            </w:pPr>
            <w:r>
              <w:rPr>
                <w:rFonts w:hint="eastAsia" w:ascii="宋体" w:hAnsi="宋体"/>
                <w:szCs w:val="21"/>
              </w:rPr>
              <w:t>邹国强</w:t>
            </w:r>
          </w:p>
        </w:tc>
        <w:tc>
          <w:tcPr>
            <w:tcW w:w="1271" w:type="dxa"/>
          </w:tcPr>
          <w:p>
            <w:pPr>
              <w:tabs>
                <w:tab w:val="left" w:pos="9135"/>
              </w:tabs>
              <w:adjustRightInd w:val="0"/>
              <w:snapToGrid w:val="0"/>
              <w:spacing w:line="240" w:lineRule="atLeast"/>
              <w:jc w:val="center"/>
              <w:rPr>
                <w:rFonts w:ascii="宋体"/>
                <w:szCs w:val="21"/>
              </w:rPr>
            </w:pPr>
            <w:r>
              <w:rPr>
                <w:rFonts w:hint="eastAsia" w:ascii="宋体" w:hAnsi="宋体"/>
                <w:szCs w:val="21"/>
              </w:rPr>
              <w:t>副校长</w:t>
            </w:r>
          </w:p>
        </w:tc>
        <w:tc>
          <w:tcPr>
            <w:tcW w:w="1323" w:type="dxa"/>
          </w:tcPr>
          <w:p>
            <w:pPr>
              <w:tabs>
                <w:tab w:val="left" w:pos="9135"/>
              </w:tabs>
              <w:adjustRightInd w:val="0"/>
              <w:snapToGrid w:val="0"/>
              <w:spacing w:line="240" w:lineRule="atLeast"/>
              <w:jc w:val="center"/>
              <w:rPr>
                <w:rFonts w:ascii="宋体"/>
                <w:szCs w:val="21"/>
              </w:rPr>
            </w:pPr>
            <w:r>
              <w:rPr>
                <w:rFonts w:hint="eastAsia" w:ascii="宋体" w:hAnsi="宋体"/>
                <w:szCs w:val="21"/>
              </w:rPr>
              <w:t>中学高级</w:t>
            </w:r>
          </w:p>
        </w:tc>
        <w:tc>
          <w:tcPr>
            <w:tcW w:w="907" w:type="dxa"/>
          </w:tcPr>
          <w:p>
            <w:pPr>
              <w:tabs>
                <w:tab w:val="left" w:pos="9135"/>
              </w:tabs>
              <w:adjustRightInd w:val="0"/>
              <w:snapToGrid w:val="0"/>
              <w:spacing w:line="240" w:lineRule="atLeast"/>
              <w:jc w:val="center"/>
              <w:rPr>
                <w:rFonts w:ascii="宋体" w:hAnsi="宋体"/>
                <w:szCs w:val="21"/>
              </w:rPr>
            </w:pPr>
            <w:r>
              <w:rPr>
                <w:rFonts w:ascii="宋体" w:hAnsi="宋体"/>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045" w:type="dxa"/>
          </w:tcPr>
          <w:p>
            <w:pPr>
              <w:tabs>
                <w:tab w:val="left" w:pos="9135"/>
              </w:tabs>
              <w:adjustRightInd w:val="0"/>
              <w:snapToGrid w:val="0"/>
              <w:spacing w:line="240" w:lineRule="atLeast"/>
              <w:rPr>
                <w:rFonts w:ascii="宋体"/>
                <w:szCs w:val="21"/>
              </w:rPr>
            </w:pPr>
            <w:r>
              <w:rPr>
                <w:rFonts w:ascii="宋体" w:hAnsi="宋体"/>
                <w:szCs w:val="21"/>
              </w:rPr>
              <w:t>2016</w:t>
            </w:r>
            <w:r>
              <w:rPr>
                <w:rFonts w:hint="eastAsia" w:ascii="宋体" w:hAnsi="宋体"/>
                <w:szCs w:val="21"/>
              </w:rPr>
              <w:t>年</w:t>
            </w:r>
            <w:r>
              <w:rPr>
                <w:rFonts w:ascii="宋体" w:hAnsi="宋体"/>
                <w:szCs w:val="21"/>
              </w:rPr>
              <w:t>11</w:t>
            </w:r>
            <w:r>
              <w:rPr>
                <w:rFonts w:hint="eastAsia" w:ascii="宋体" w:hAnsi="宋体"/>
                <w:szCs w:val="21"/>
              </w:rPr>
              <w:t>月</w:t>
            </w:r>
            <w:r>
              <w:rPr>
                <w:rFonts w:ascii="宋体" w:hAnsi="宋体"/>
                <w:szCs w:val="21"/>
              </w:rPr>
              <w:t>18</w:t>
            </w:r>
            <w:r>
              <w:rPr>
                <w:rFonts w:hint="eastAsia" w:ascii="宋体" w:hAnsi="宋体"/>
                <w:szCs w:val="21"/>
              </w:rPr>
              <w:t>日</w:t>
            </w:r>
          </w:p>
        </w:tc>
        <w:tc>
          <w:tcPr>
            <w:tcW w:w="2739" w:type="dxa"/>
          </w:tcPr>
          <w:p>
            <w:pPr>
              <w:tabs>
                <w:tab w:val="left" w:pos="9135"/>
              </w:tabs>
              <w:adjustRightInd w:val="0"/>
              <w:snapToGrid w:val="0"/>
              <w:spacing w:line="240" w:lineRule="atLeast"/>
              <w:jc w:val="center"/>
              <w:rPr>
                <w:rFonts w:ascii="宋体"/>
                <w:szCs w:val="21"/>
              </w:rPr>
            </w:pPr>
            <w:r>
              <w:rPr>
                <w:rFonts w:hint="eastAsia" w:ascii="宋体" w:hAnsi="宋体"/>
                <w:szCs w:val="21"/>
              </w:rPr>
              <w:t>高一期中总结分析</w:t>
            </w:r>
          </w:p>
        </w:tc>
        <w:tc>
          <w:tcPr>
            <w:tcW w:w="975" w:type="dxa"/>
          </w:tcPr>
          <w:p>
            <w:pPr>
              <w:tabs>
                <w:tab w:val="left" w:pos="9135"/>
              </w:tabs>
              <w:adjustRightInd w:val="0"/>
              <w:snapToGrid w:val="0"/>
              <w:spacing w:line="240" w:lineRule="atLeast"/>
              <w:jc w:val="center"/>
              <w:rPr>
                <w:rFonts w:ascii="宋体"/>
                <w:szCs w:val="21"/>
              </w:rPr>
            </w:pPr>
            <w:r>
              <w:rPr>
                <w:rFonts w:hint="eastAsia" w:ascii="宋体" w:hAnsi="宋体"/>
                <w:szCs w:val="21"/>
              </w:rPr>
              <w:t>徐献鹤</w:t>
            </w:r>
          </w:p>
        </w:tc>
        <w:tc>
          <w:tcPr>
            <w:tcW w:w="1271" w:type="dxa"/>
          </w:tcPr>
          <w:p>
            <w:pPr>
              <w:tabs>
                <w:tab w:val="left" w:pos="9135"/>
              </w:tabs>
              <w:adjustRightInd w:val="0"/>
              <w:snapToGrid w:val="0"/>
              <w:spacing w:line="240" w:lineRule="atLeast"/>
              <w:jc w:val="center"/>
              <w:rPr>
                <w:rFonts w:ascii="宋体"/>
                <w:szCs w:val="21"/>
              </w:rPr>
            </w:pPr>
            <w:r>
              <w:rPr>
                <w:rFonts w:hint="eastAsia" w:ascii="宋体" w:hAnsi="宋体"/>
                <w:szCs w:val="21"/>
              </w:rPr>
              <w:t>副校长</w:t>
            </w:r>
          </w:p>
        </w:tc>
        <w:tc>
          <w:tcPr>
            <w:tcW w:w="1323" w:type="dxa"/>
          </w:tcPr>
          <w:p>
            <w:pPr>
              <w:tabs>
                <w:tab w:val="left" w:pos="9135"/>
              </w:tabs>
              <w:adjustRightInd w:val="0"/>
              <w:snapToGrid w:val="0"/>
              <w:spacing w:line="240" w:lineRule="atLeast"/>
              <w:jc w:val="center"/>
              <w:rPr>
                <w:rFonts w:ascii="宋体"/>
                <w:szCs w:val="21"/>
              </w:rPr>
            </w:pPr>
            <w:r>
              <w:rPr>
                <w:rFonts w:hint="eastAsia" w:ascii="宋体" w:hAnsi="宋体"/>
                <w:szCs w:val="21"/>
              </w:rPr>
              <w:t>中学一级</w:t>
            </w:r>
          </w:p>
        </w:tc>
        <w:tc>
          <w:tcPr>
            <w:tcW w:w="907" w:type="dxa"/>
          </w:tcPr>
          <w:p>
            <w:pPr>
              <w:tabs>
                <w:tab w:val="left" w:pos="9135"/>
              </w:tabs>
              <w:adjustRightInd w:val="0"/>
              <w:snapToGrid w:val="0"/>
              <w:spacing w:line="240" w:lineRule="atLeast"/>
              <w:jc w:val="center"/>
              <w:rPr>
                <w:rFonts w:ascii="宋体" w:hAnsi="宋体"/>
                <w:szCs w:val="21"/>
              </w:rPr>
            </w:pPr>
            <w:r>
              <w:rPr>
                <w:rFonts w:ascii="宋体" w:hAnsi="宋体"/>
                <w:szCs w:val="21"/>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045" w:type="dxa"/>
          </w:tcPr>
          <w:p>
            <w:pPr>
              <w:tabs>
                <w:tab w:val="left" w:pos="9135"/>
              </w:tabs>
              <w:adjustRightInd w:val="0"/>
              <w:snapToGrid w:val="0"/>
              <w:spacing w:line="240" w:lineRule="atLeast"/>
              <w:rPr>
                <w:rFonts w:ascii="宋体"/>
                <w:szCs w:val="21"/>
              </w:rPr>
            </w:pPr>
            <w:r>
              <w:rPr>
                <w:rFonts w:ascii="宋体" w:hAnsi="宋体"/>
                <w:szCs w:val="21"/>
              </w:rPr>
              <w:t>2017</w:t>
            </w:r>
            <w:r>
              <w:rPr>
                <w:rFonts w:hint="eastAsia" w:ascii="宋体" w:hAnsi="宋体"/>
                <w:szCs w:val="21"/>
              </w:rPr>
              <w:t>年</w:t>
            </w:r>
            <w:r>
              <w:rPr>
                <w:rFonts w:ascii="宋体" w:hAnsi="宋体"/>
                <w:szCs w:val="21"/>
              </w:rPr>
              <w:t>5</w:t>
            </w:r>
            <w:r>
              <w:rPr>
                <w:rFonts w:hint="eastAsia" w:ascii="宋体" w:hAnsi="宋体"/>
                <w:szCs w:val="21"/>
              </w:rPr>
              <w:t>月</w:t>
            </w:r>
            <w:r>
              <w:rPr>
                <w:rFonts w:ascii="宋体" w:hAnsi="宋体"/>
                <w:szCs w:val="21"/>
              </w:rPr>
              <w:t>8</w:t>
            </w:r>
            <w:r>
              <w:rPr>
                <w:rFonts w:hint="eastAsia" w:ascii="宋体" w:hAnsi="宋体"/>
                <w:szCs w:val="21"/>
              </w:rPr>
              <w:t>日</w:t>
            </w:r>
          </w:p>
        </w:tc>
        <w:tc>
          <w:tcPr>
            <w:tcW w:w="2739" w:type="dxa"/>
          </w:tcPr>
          <w:p>
            <w:pPr>
              <w:tabs>
                <w:tab w:val="left" w:pos="9135"/>
              </w:tabs>
              <w:adjustRightInd w:val="0"/>
              <w:snapToGrid w:val="0"/>
              <w:spacing w:line="240" w:lineRule="atLeast"/>
              <w:jc w:val="center"/>
              <w:rPr>
                <w:rFonts w:ascii="宋体"/>
                <w:szCs w:val="21"/>
              </w:rPr>
            </w:pPr>
            <w:r>
              <w:rPr>
                <w:rFonts w:hint="eastAsia" w:ascii="宋体" w:hAnsi="宋体"/>
                <w:szCs w:val="21"/>
              </w:rPr>
              <w:t>高二年级学情总结</w:t>
            </w:r>
          </w:p>
        </w:tc>
        <w:tc>
          <w:tcPr>
            <w:tcW w:w="975" w:type="dxa"/>
          </w:tcPr>
          <w:p>
            <w:pPr>
              <w:tabs>
                <w:tab w:val="left" w:pos="9135"/>
              </w:tabs>
              <w:adjustRightInd w:val="0"/>
              <w:snapToGrid w:val="0"/>
              <w:spacing w:line="240" w:lineRule="atLeast"/>
              <w:jc w:val="center"/>
              <w:rPr>
                <w:rFonts w:ascii="宋体"/>
                <w:szCs w:val="21"/>
              </w:rPr>
            </w:pPr>
            <w:r>
              <w:rPr>
                <w:rFonts w:hint="eastAsia" w:ascii="宋体" w:hAnsi="宋体"/>
                <w:szCs w:val="21"/>
              </w:rPr>
              <w:t>沈纯芳</w:t>
            </w:r>
          </w:p>
        </w:tc>
        <w:tc>
          <w:tcPr>
            <w:tcW w:w="1271" w:type="dxa"/>
          </w:tcPr>
          <w:p>
            <w:pPr>
              <w:tabs>
                <w:tab w:val="left" w:pos="9135"/>
              </w:tabs>
              <w:adjustRightInd w:val="0"/>
              <w:snapToGrid w:val="0"/>
              <w:spacing w:line="240" w:lineRule="atLeast"/>
              <w:jc w:val="center"/>
              <w:rPr>
                <w:rFonts w:ascii="宋体"/>
                <w:szCs w:val="21"/>
              </w:rPr>
            </w:pPr>
            <w:r>
              <w:rPr>
                <w:rFonts w:hint="eastAsia" w:ascii="宋体" w:hAnsi="宋体"/>
                <w:szCs w:val="21"/>
              </w:rPr>
              <w:t>校长</w:t>
            </w:r>
          </w:p>
        </w:tc>
        <w:tc>
          <w:tcPr>
            <w:tcW w:w="1323" w:type="dxa"/>
          </w:tcPr>
          <w:p>
            <w:pPr>
              <w:tabs>
                <w:tab w:val="left" w:pos="9135"/>
              </w:tabs>
              <w:adjustRightInd w:val="0"/>
              <w:snapToGrid w:val="0"/>
              <w:spacing w:line="240" w:lineRule="atLeast"/>
              <w:jc w:val="center"/>
              <w:rPr>
                <w:rFonts w:ascii="宋体"/>
                <w:szCs w:val="21"/>
              </w:rPr>
            </w:pPr>
            <w:r>
              <w:rPr>
                <w:rFonts w:hint="eastAsia" w:ascii="宋体" w:hAnsi="宋体"/>
                <w:szCs w:val="21"/>
              </w:rPr>
              <w:t>中学高级</w:t>
            </w:r>
          </w:p>
        </w:tc>
        <w:tc>
          <w:tcPr>
            <w:tcW w:w="907" w:type="dxa"/>
          </w:tcPr>
          <w:p>
            <w:pPr>
              <w:tabs>
                <w:tab w:val="left" w:pos="9135"/>
              </w:tabs>
              <w:adjustRightInd w:val="0"/>
              <w:snapToGrid w:val="0"/>
              <w:spacing w:line="240" w:lineRule="atLeast"/>
              <w:jc w:val="center"/>
              <w:rPr>
                <w:rFonts w:ascii="宋体" w:hAnsi="宋体"/>
                <w:szCs w:val="21"/>
              </w:rPr>
            </w:pPr>
            <w:r>
              <w:rPr>
                <w:rFonts w:ascii="宋体" w:hAnsi="宋体"/>
                <w:szCs w:val="21"/>
              </w:rPr>
              <w:t>385</w:t>
            </w:r>
          </w:p>
        </w:tc>
      </w:tr>
    </w:tbl>
    <w:p>
      <w:pPr>
        <w:tabs>
          <w:tab w:val="left" w:pos="0"/>
        </w:tabs>
        <w:spacing w:line="560" w:lineRule="exact"/>
        <w:ind w:right="560"/>
        <w:rPr>
          <w:rFonts w:ascii="宋体"/>
          <w:b/>
          <w:sz w:val="28"/>
          <w:szCs w:val="28"/>
        </w:rPr>
      </w:pPr>
      <w:r>
        <w:rPr>
          <w:rFonts w:hint="eastAsia" w:ascii="宋体"/>
          <w:b/>
          <w:sz w:val="28"/>
          <w:szCs w:val="28"/>
        </w:rPr>
        <w:t>11.社会实践基地情况表</w:t>
      </w:r>
    </w:p>
    <w:tbl>
      <w:tblPr>
        <w:tblStyle w:val="14"/>
        <w:tblW w:w="87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6"/>
        <w:gridCol w:w="2072"/>
        <w:gridCol w:w="906"/>
        <w:gridCol w:w="1817"/>
        <w:gridCol w:w="15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宋体" w:hAnsi="宋体"/>
                <w:szCs w:val="21"/>
              </w:rPr>
            </w:pPr>
            <w:r>
              <w:rPr>
                <w:rFonts w:hint="eastAsia" w:ascii="宋体" w:hAnsi="宋体"/>
                <w:szCs w:val="21"/>
              </w:rPr>
              <w:t>校外教育基地名称</w:t>
            </w:r>
          </w:p>
        </w:tc>
        <w:tc>
          <w:tcPr>
            <w:tcW w:w="207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宋体" w:hAnsi="宋体"/>
                <w:szCs w:val="21"/>
              </w:rPr>
            </w:pPr>
            <w:r>
              <w:rPr>
                <w:rFonts w:hint="eastAsia" w:ascii="宋体" w:hAnsi="宋体"/>
                <w:szCs w:val="21"/>
              </w:rPr>
              <w:t>协作单位</w:t>
            </w:r>
          </w:p>
          <w:p>
            <w:pPr>
              <w:snapToGrid w:val="0"/>
              <w:spacing w:line="360" w:lineRule="atLeast"/>
              <w:jc w:val="center"/>
              <w:rPr>
                <w:rFonts w:ascii="宋体" w:hAnsi="宋体"/>
                <w:szCs w:val="21"/>
              </w:rPr>
            </w:pPr>
            <w:r>
              <w:rPr>
                <w:rFonts w:ascii="宋体" w:hAnsi="宋体"/>
                <w:szCs w:val="21"/>
              </w:rPr>
              <w:t>/部门</w:t>
            </w:r>
          </w:p>
        </w:tc>
        <w:tc>
          <w:tcPr>
            <w:tcW w:w="2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宋体" w:hAnsi="宋体"/>
                <w:szCs w:val="21"/>
              </w:rPr>
            </w:pPr>
            <w:r>
              <w:rPr>
                <w:rFonts w:hint="eastAsia" w:ascii="宋体" w:hAnsi="宋体"/>
                <w:szCs w:val="21"/>
              </w:rPr>
              <w:t>校外基地主要负责人</w:t>
            </w:r>
          </w:p>
        </w:tc>
        <w:tc>
          <w:tcPr>
            <w:tcW w:w="1587"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宋体" w:hAnsi="宋体"/>
                <w:szCs w:val="21"/>
              </w:rPr>
            </w:pPr>
            <w:r>
              <w:rPr>
                <w:rFonts w:hint="eastAsia" w:ascii="宋体" w:hAnsi="宋体"/>
                <w:szCs w:val="21"/>
              </w:rPr>
              <w:t>活动次数</w:t>
            </w:r>
            <w:r>
              <w:rPr>
                <w:rFonts w:ascii="宋体" w:hAnsi="宋体"/>
                <w:szCs w:val="21"/>
              </w:rPr>
              <w:t>/次数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23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tLeast"/>
              <w:jc w:val="left"/>
              <w:rPr>
                <w:rFonts w:ascii="宋体" w:hAnsi="宋体"/>
                <w:szCs w:val="21"/>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tLeast"/>
              <w:jc w:val="left"/>
              <w:rPr>
                <w:rFonts w:ascii="宋体" w:hAnsi="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宋体" w:hAnsi="宋体"/>
                <w:szCs w:val="21"/>
              </w:rPr>
            </w:pPr>
            <w:r>
              <w:rPr>
                <w:rFonts w:hint="eastAsia" w:ascii="宋体" w:hAnsi="宋体"/>
                <w:szCs w:val="21"/>
              </w:rPr>
              <w:t>姓名</w:t>
            </w:r>
          </w:p>
        </w:tc>
        <w:tc>
          <w:tcPr>
            <w:tcW w:w="1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宋体" w:hAnsi="宋体"/>
                <w:szCs w:val="21"/>
              </w:rPr>
            </w:pPr>
            <w:r>
              <w:rPr>
                <w:rFonts w:hint="eastAsia" w:ascii="宋体" w:hAnsi="宋体"/>
                <w:szCs w:val="21"/>
              </w:rPr>
              <w:t>办公电话</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szCs w:val="21"/>
              </w:rPr>
              <w:t>中华恐龙园有限公司</w:t>
            </w:r>
          </w:p>
        </w:tc>
        <w:tc>
          <w:tcPr>
            <w:tcW w:w="2072"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ascii="宋体" w:hAnsi="宋体" w:cs="宋体"/>
                <w:szCs w:val="21"/>
              </w:rPr>
              <w:t>新北区人民政府</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盛  新</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18951231661</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105" w:firstLineChars="50"/>
              <w:jc w:val="center"/>
              <w:rPr>
                <w:rFonts w:ascii="宋体" w:hAnsi="宋体" w:cs="宋体"/>
                <w:kern w:val="0"/>
                <w:szCs w:val="21"/>
              </w:rPr>
            </w:pPr>
            <w:r>
              <w:rPr>
                <w:rFonts w:hint="eastAsia" w:ascii="宋体" w:hAnsi="宋体"/>
                <w:szCs w:val="21"/>
              </w:rPr>
              <w:t>两年1次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szCs w:val="21"/>
              </w:rPr>
              <w:t>淹城春秋乐园</w:t>
            </w:r>
          </w:p>
        </w:tc>
        <w:tc>
          <w:tcPr>
            <w:tcW w:w="2072"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ascii="宋体" w:hAnsi="宋体" w:cs="宋体"/>
                <w:szCs w:val="21"/>
              </w:rPr>
              <w:t>文化局</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王岳群</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18951237585</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两年1次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szCs w:val="21"/>
              </w:rPr>
              <w:t>溧阳天目湖旅游度假区</w:t>
            </w:r>
          </w:p>
        </w:tc>
        <w:tc>
          <w:tcPr>
            <w:tcW w:w="2072"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szCs w:val="21"/>
              </w:rPr>
              <w:t>天目湖旅游度假区</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郑  波</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051987983283</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两年1次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szCs w:val="21"/>
              </w:rPr>
              <w:t>常州环球动漫嬉戏谷</w:t>
            </w:r>
          </w:p>
        </w:tc>
        <w:tc>
          <w:tcPr>
            <w:tcW w:w="2072"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szCs w:val="21"/>
              </w:rPr>
              <w:t>常州环球动漫嬉戏谷有限公司</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顾斌瑶</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szCs w:val="21"/>
              </w:rPr>
              <w:t>18661166570</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两年1次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szCs w:val="21"/>
              </w:rPr>
              <w:t>红梅公园</w:t>
            </w:r>
          </w:p>
        </w:tc>
        <w:tc>
          <w:tcPr>
            <w:tcW w:w="2072"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ascii="宋体" w:hAnsi="宋体" w:cs="宋体"/>
                <w:szCs w:val="21"/>
              </w:rPr>
              <w:t>红梅公园管理处</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司洪庆</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051988104993</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每学期1次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szCs w:val="21"/>
              </w:rPr>
              <w:t>洛阳特种水果种植基地</w:t>
            </w:r>
          </w:p>
        </w:tc>
        <w:tc>
          <w:tcPr>
            <w:tcW w:w="2072"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ascii="宋体" w:hAnsi="宋体" w:cs="宋体"/>
                <w:szCs w:val="21"/>
              </w:rPr>
              <w:t>洛阳镇商会</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谈一平</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13961119220</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每学期1次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szCs w:val="21"/>
              </w:rPr>
              <w:t>新洛凯机电有限公司</w:t>
            </w:r>
          </w:p>
        </w:tc>
        <w:tc>
          <w:tcPr>
            <w:tcW w:w="2072"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ascii="宋体" w:hAnsi="宋体" w:cs="宋体"/>
                <w:szCs w:val="21"/>
              </w:rPr>
              <w:t>洛阳镇商会</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谈  行</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051988794263</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每年1次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szCs w:val="21"/>
              </w:rPr>
              <w:t>戴溪建筑公司</w:t>
            </w:r>
          </w:p>
        </w:tc>
        <w:tc>
          <w:tcPr>
            <w:tcW w:w="2072"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ascii="宋体" w:hAnsi="宋体" w:cs="宋体"/>
                <w:szCs w:val="21"/>
              </w:rPr>
              <w:t>洛阳镇商会</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陈汉光</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051988551317</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两年1次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szCs w:val="21"/>
              </w:rPr>
              <w:t>晶雪冷冻设备有限公司</w:t>
            </w:r>
          </w:p>
        </w:tc>
        <w:tc>
          <w:tcPr>
            <w:tcW w:w="2072"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ascii="宋体" w:hAnsi="宋体" w:cs="宋体"/>
                <w:szCs w:val="21"/>
              </w:rPr>
              <w:t>洛阳镇商会</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贾富忠</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051988791029</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两年1次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szCs w:val="21"/>
              </w:rPr>
              <w:t>江苏华阳电器有限公司</w:t>
            </w:r>
          </w:p>
        </w:tc>
        <w:tc>
          <w:tcPr>
            <w:tcW w:w="2072"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ascii="宋体" w:hAnsi="宋体" w:cs="宋体"/>
                <w:szCs w:val="21"/>
              </w:rPr>
              <w:t>洛阳镇商会</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许云初</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051988798286</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两年1次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szCs w:val="21"/>
              </w:rPr>
              <w:t>安徽西递写生基地</w:t>
            </w:r>
          </w:p>
        </w:tc>
        <w:tc>
          <w:tcPr>
            <w:tcW w:w="2072"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ascii="宋体" w:hAnsi="宋体" w:cs="宋体"/>
                <w:szCs w:val="21"/>
              </w:rPr>
              <w:t>宏阳山庄</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朱国辉</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05595541124</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两年1次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szCs w:val="21"/>
              </w:rPr>
            </w:pPr>
            <w:r>
              <w:rPr>
                <w:rFonts w:hint="eastAsia" w:ascii="宋体" w:hAnsi="宋体"/>
                <w:szCs w:val="21"/>
              </w:rPr>
              <w:t>丽水在水一方写生基地</w:t>
            </w:r>
          </w:p>
        </w:tc>
        <w:tc>
          <w:tcPr>
            <w:tcW w:w="2072"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szCs w:val="21"/>
              </w:rPr>
            </w:pPr>
            <w:r>
              <w:rPr>
                <w:rFonts w:hint="eastAsia" w:ascii="宋体" w:hAnsi="宋体"/>
                <w:szCs w:val="21"/>
              </w:rPr>
              <w:t>丽水旅游公司</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徐  萍</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13357076278</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szCs w:val="21"/>
              </w:rPr>
            </w:pPr>
            <w:r>
              <w:rPr>
                <w:rFonts w:hint="eastAsia" w:ascii="宋体" w:hAnsi="宋体"/>
                <w:szCs w:val="21"/>
              </w:rPr>
              <w:t>两年1次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szCs w:val="21"/>
              </w:rPr>
            </w:pPr>
            <w:r>
              <w:rPr>
                <w:rFonts w:hint="eastAsia" w:ascii="宋体" w:hAnsi="宋体"/>
                <w:szCs w:val="21"/>
              </w:rPr>
              <w:t>电视塔</w:t>
            </w:r>
          </w:p>
        </w:tc>
        <w:tc>
          <w:tcPr>
            <w:tcW w:w="2072"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szCs w:val="21"/>
              </w:rPr>
            </w:pPr>
            <w:r>
              <w:rPr>
                <w:rFonts w:hint="eastAsia" w:ascii="宋体" w:hAnsi="宋体"/>
                <w:szCs w:val="21"/>
              </w:rPr>
              <w:t>高塔旅行社</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陆传大</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13376288688</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每年1次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szCs w:val="21"/>
              </w:rPr>
            </w:pPr>
            <w:r>
              <w:rPr>
                <w:rFonts w:hint="eastAsia" w:ascii="宋体" w:hAnsi="宋体"/>
                <w:szCs w:val="21"/>
              </w:rPr>
              <w:t>瞿秋白纪念馆</w:t>
            </w:r>
          </w:p>
        </w:tc>
        <w:tc>
          <w:tcPr>
            <w:tcW w:w="2072"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szCs w:val="21"/>
              </w:rPr>
            </w:pPr>
            <w:r>
              <w:rPr>
                <w:rFonts w:hint="eastAsia" w:ascii="宋体" w:hAnsi="宋体"/>
                <w:szCs w:val="21"/>
              </w:rPr>
              <w:t>文化局</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侯  涤</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051986636909</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两年1次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szCs w:val="21"/>
              </w:rPr>
            </w:pPr>
            <w:r>
              <w:rPr>
                <w:rFonts w:hint="eastAsia"/>
                <w:szCs w:val="21"/>
              </w:rPr>
              <w:t>冯仲云将军纪念馆</w:t>
            </w:r>
          </w:p>
        </w:tc>
        <w:tc>
          <w:tcPr>
            <w:tcW w:w="2072"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szCs w:val="21"/>
              </w:rPr>
            </w:pPr>
            <w:r>
              <w:rPr>
                <w:rFonts w:hint="eastAsia" w:ascii="宋体" w:hAnsi="宋体"/>
                <w:szCs w:val="21"/>
              </w:rPr>
              <w:t>横林余巷村委</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冯明歧</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051988782905</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两年1次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szCs w:val="21"/>
              </w:rPr>
            </w:pPr>
            <w:r>
              <w:rPr>
                <w:rFonts w:hint="eastAsia"/>
                <w:szCs w:val="21"/>
              </w:rPr>
              <w:t>王诤将军纪念馆</w:t>
            </w:r>
          </w:p>
        </w:tc>
        <w:tc>
          <w:tcPr>
            <w:tcW w:w="2072"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szCs w:val="21"/>
              </w:rPr>
            </w:pPr>
            <w:r>
              <w:rPr>
                <w:rFonts w:hint="eastAsia" w:ascii="宋体" w:hAnsi="宋体"/>
                <w:szCs w:val="21"/>
              </w:rPr>
              <w:t>洛阳天井村委</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顾玉兴</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051988550219</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两年1次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szCs w:val="21"/>
              </w:rPr>
            </w:pPr>
            <w:r>
              <w:rPr>
                <w:rFonts w:hint="eastAsia"/>
                <w:szCs w:val="21"/>
              </w:rPr>
              <w:t>武进革命烈士陵园</w:t>
            </w:r>
          </w:p>
        </w:tc>
        <w:tc>
          <w:tcPr>
            <w:tcW w:w="2072"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szCs w:val="21"/>
              </w:rPr>
            </w:pPr>
            <w:r>
              <w:rPr>
                <w:rFonts w:hint="eastAsia"/>
                <w:szCs w:val="21"/>
              </w:rPr>
              <w:t>武进区民政局</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窦国兴</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051986561949</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每年1次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szCs w:val="21"/>
              </w:rPr>
            </w:pPr>
            <w:r>
              <w:rPr>
                <w:rFonts w:hint="eastAsia"/>
                <w:szCs w:val="21"/>
              </w:rPr>
              <w:t>武进国防教育中心</w:t>
            </w:r>
          </w:p>
        </w:tc>
        <w:tc>
          <w:tcPr>
            <w:tcW w:w="2072"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szCs w:val="21"/>
              </w:rPr>
            </w:pPr>
            <w:r>
              <w:rPr>
                <w:rFonts w:hint="eastAsia"/>
                <w:szCs w:val="21"/>
              </w:rPr>
              <w:t>武进人武部</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桂林海</w:t>
            </w: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0519</w:t>
            </w:r>
            <w:r>
              <w:rPr>
                <w:rFonts w:ascii="宋体" w:hAnsi="宋体" w:cs="宋体"/>
                <w:kern w:val="0"/>
                <w:szCs w:val="21"/>
              </w:rPr>
              <w:t>88608179</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每年1次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szCs w:val="21"/>
              </w:rPr>
            </w:pPr>
            <w:r>
              <w:rPr>
                <w:rFonts w:hint="eastAsia"/>
                <w:szCs w:val="21"/>
              </w:rPr>
              <w:t>洛阳岑村</w:t>
            </w:r>
          </w:p>
        </w:tc>
        <w:tc>
          <w:tcPr>
            <w:tcW w:w="2072"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ascii="宋体" w:hAnsi="宋体" w:cs="宋体"/>
                <w:szCs w:val="21"/>
              </w:rPr>
              <w:t>洛阳镇人民政府</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蒋  健</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051988792498</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每学期1次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szCs w:val="21"/>
              </w:rPr>
            </w:pPr>
            <w:r>
              <w:rPr>
                <w:rFonts w:hint="eastAsia"/>
                <w:szCs w:val="21"/>
              </w:rPr>
              <w:t>常州市博物馆</w:t>
            </w:r>
          </w:p>
        </w:tc>
        <w:tc>
          <w:tcPr>
            <w:tcW w:w="2072"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ascii="宋体" w:hAnsi="宋体"/>
                <w:szCs w:val="21"/>
              </w:rPr>
              <w:t>文化局</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陈丽华</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051986648164</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两年1次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szCs w:val="21"/>
              </w:rPr>
              <w:t>武进博物馆</w:t>
            </w:r>
          </w:p>
        </w:tc>
        <w:tc>
          <w:tcPr>
            <w:tcW w:w="2072"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ascii="宋体" w:hAnsi="宋体" w:cs="宋体"/>
                <w:szCs w:val="21"/>
              </w:rPr>
              <w:t>文化局</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施建刚</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051986310992</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两年1次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szCs w:val="21"/>
              </w:rPr>
            </w:pPr>
            <w:r>
              <w:rPr>
                <w:rFonts w:hint="eastAsia"/>
                <w:szCs w:val="21"/>
              </w:rPr>
              <w:t>洛阳秦家祠堂</w:t>
            </w:r>
          </w:p>
        </w:tc>
        <w:tc>
          <w:tcPr>
            <w:tcW w:w="2072"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szCs w:val="21"/>
              </w:rPr>
            </w:pPr>
            <w:r>
              <w:rPr>
                <w:rFonts w:hint="eastAsia"/>
                <w:szCs w:val="21"/>
              </w:rPr>
              <w:t>洛西村委</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szCs w:val="21"/>
              </w:rPr>
            </w:pPr>
            <w:r>
              <w:rPr>
                <w:rFonts w:hint="eastAsia"/>
                <w:szCs w:val="21"/>
              </w:rPr>
              <w:t>秦建新</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szCs w:val="21"/>
              </w:rPr>
            </w:pPr>
            <w:r>
              <w:rPr>
                <w:rFonts w:hint="eastAsia" w:ascii="宋体" w:hAnsi="宋体"/>
                <w:szCs w:val="21"/>
              </w:rPr>
              <w:t>051988796589</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每年1次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szCs w:val="21"/>
              </w:rPr>
              <w:t>常州工程学院（人防）</w:t>
            </w:r>
          </w:p>
        </w:tc>
        <w:tc>
          <w:tcPr>
            <w:tcW w:w="2072"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szCs w:val="21"/>
              </w:rPr>
              <w:t>武进人武部</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周世敏</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051988797597</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两年1次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szCs w:val="21"/>
              </w:rPr>
              <w:t>常州气象局</w:t>
            </w:r>
          </w:p>
        </w:tc>
        <w:tc>
          <w:tcPr>
            <w:tcW w:w="2072"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szCs w:val="21"/>
              </w:rPr>
              <w:t>常州气象局</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薛留芳</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cs="宋体"/>
                <w:kern w:val="0"/>
                <w:szCs w:val="21"/>
              </w:rPr>
              <w:t>051989806553</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两年1次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szCs w:val="21"/>
              </w:rPr>
              <w:t>礼嘉王家祠堂</w:t>
            </w:r>
          </w:p>
        </w:tc>
        <w:tc>
          <w:tcPr>
            <w:tcW w:w="2072"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szCs w:val="21"/>
              </w:rPr>
            </w:pPr>
            <w:r>
              <w:rPr>
                <w:rFonts w:hint="eastAsia" w:ascii="宋体" w:hAnsi="宋体" w:cs="宋体"/>
                <w:szCs w:val="21"/>
              </w:rPr>
              <w:t>王家村委</w:t>
            </w:r>
          </w:p>
        </w:tc>
        <w:tc>
          <w:tcPr>
            <w:tcW w:w="90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szCs w:val="21"/>
              </w:rPr>
              <w:t>王文浩</w:t>
            </w: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13801501627</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kern w:val="0"/>
                <w:szCs w:val="21"/>
              </w:rPr>
            </w:pPr>
            <w:r>
              <w:rPr>
                <w:rFonts w:hint="eastAsia" w:ascii="宋体" w:hAnsi="宋体"/>
                <w:szCs w:val="21"/>
              </w:rPr>
              <w:t>两年1次</w:t>
            </w:r>
          </w:p>
        </w:tc>
      </w:tr>
    </w:tbl>
    <w:p>
      <w:pPr>
        <w:tabs>
          <w:tab w:val="left" w:pos="0"/>
        </w:tabs>
        <w:spacing w:line="560" w:lineRule="exact"/>
        <w:ind w:right="560"/>
        <w:rPr>
          <w:rFonts w:ascii="宋体"/>
          <w:b/>
          <w:color w:val="000000" w:themeColor="text1"/>
          <w:sz w:val="28"/>
          <w:szCs w:val="28"/>
        </w:rPr>
      </w:pPr>
      <w:r>
        <w:rPr>
          <w:rFonts w:hint="eastAsia" w:ascii="宋体"/>
          <w:b/>
          <w:color w:val="000000" w:themeColor="text1"/>
          <w:sz w:val="28"/>
          <w:szCs w:val="28"/>
        </w:rPr>
        <w:t>12、学生社团组织情况表</w:t>
      </w:r>
    </w:p>
    <w:tbl>
      <w:tblPr>
        <w:tblStyle w:val="14"/>
        <w:tblW w:w="9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1502"/>
        <w:gridCol w:w="1376"/>
        <w:gridCol w:w="1644"/>
        <w:gridCol w:w="15"/>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2481" w:type="dxa"/>
            <w:vAlign w:val="center"/>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学生社团组织名称</w:t>
            </w:r>
          </w:p>
        </w:tc>
        <w:tc>
          <w:tcPr>
            <w:tcW w:w="1502" w:type="dxa"/>
            <w:vAlign w:val="center"/>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成立时间</w:t>
            </w:r>
          </w:p>
        </w:tc>
        <w:tc>
          <w:tcPr>
            <w:tcW w:w="1376" w:type="dxa"/>
            <w:vAlign w:val="center"/>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成员人数</w:t>
            </w:r>
          </w:p>
        </w:tc>
        <w:tc>
          <w:tcPr>
            <w:tcW w:w="1659" w:type="dxa"/>
            <w:gridSpan w:val="2"/>
            <w:tcBorders>
              <w:right w:val="single" w:color="auto" w:sz="6" w:space="0"/>
            </w:tcBorders>
            <w:vAlign w:val="center"/>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负责人姓名</w:t>
            </w:r>
          </w:p>
        </w:tc>
        <w:tc>
          <w:tcPr>
            <w:tcW w:w="2281" w:type="dxa"/>
            <w:tcBorders>
              <w:left w:val="single" w:color="auto" w:sz="6" w:space="0"/>
            </w:tcBorders>
            <w:vAlign w:val="center"/>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社团活动内容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1"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水墨之旅</w:t>
            </w:r>
          </w:p>
        </w:tc>
        <w:tc>
          <w:tcPr>
            <w:tcW w:w="1502"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2005.9</w:t>
            </w:r>
          </w:p>
        </w:tc>
        <w:tc>
          <w:tcPr>
            <w:tcW w:w="1376"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15</w:t>
            </w:r>
          </w:p>
        </w:tc>
        <w:tc>
          <w:tcPr>
            <w:tcW w:w="1659" w:type="dxa"/>
            <w:gridSpan w:val="2"/>
            <w:tcBorders>
              <w:right w:val="single" w:color="auto" w:sz="6" w:space="0"/>
            </w:tcBorders>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张桔</w:t>
            </w:r>
          </w:p>
        </w:tc>
        <w:tc>
          <w:tcPr>
            <w:tcW w:w="2281" w:type="dxa"/>
            <w:tcBorders>
              <w:left w:val="single" w:color="auto" w:sz="6" w:space="0"/>
            </w:tcBorders>
          </w:tcPr>
          <w:p>
            <w:pPr>
              <w:tabs>
                <w:tab w:val="left" w:pos="9135"/>
              </w:tabs>
              <w:adjustRightInd w:val="0"/>
              <w:snapToGrid w:val="0"/>
              <w:spacing w:line="240" w:lineRule="atLeast"/>
              <w:jc w:val="left"/>
              <w:rPr>
                <w:rFonts w:ascii="宋体" w:hAnsi="宋体"/>
                <w:color w:val="000000" w:themeColor="text1"/>
                <w:szCs w:val="21"/>
              </w:rPr>
            </w:pPr>
            <w:r>
              <w:rPr>
                <w:rFonts w:hint="eastAsia" w:ascii="宋体" w:hAnsi="宋体"/>
                <w:color w:val="000000" w:themeColor="text1"/>
                <w:szCs w:val="21"/>
              </w:rPr>
              <w:t>工笔画训练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1"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色彩飞扬</w:t>
            </w:r>
          </w:p>
        </w:tc>
        <w:tc>
          <w:tcPr>
            <w:tcW w:w="1502"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2005.9</w:t>
            </w:r>
          </w:p>
        </w:tc>
        <w:tc>
          <w:tcPr>
            <w:tcW w:w="1376"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26</w:t>
            </w:r>
          </w:p>
        </w:tc>
        <w:tc>
          <w:tcPr>
            <w:tcW w:w="1659" w:type="dxa"/>
            <w:gridSpan w:val="2"/>
            <w:tcBorders>
              <w:right w:val="single" w:color="auto" w:sz="6" w:space="0"/>
            </w:tcBorders>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秦旻、刘超</w:t>
            </w:r>
          </w:p>
        </w:tc>
        <w:tc>
          <w:tcPr>
            <w:tcW w:w="2281" w:type="dxa"/>
            <w:tcBorders>
              <w:left w:val="single" w:color="auto" w:sz="6" w:space="0"/>
            </w:tcBorders>
          </w:tcPr>
          <w:p>
            <w:pPr>
              <w:tabs>
                <w:tab w:val="left" w:pos="9135"/>
              </w:tabs>
              <w:adjustRightInd w:val="0"/>
              <w:snapToGrid w:val="0"/>
              <w:spacing w:line="240" w:lineRule="atLeast"/>
              <w:jc w:val="left"/>
              <w:rPr>
                <w:rFonts w:ascii="宋体" w:hAnsi="宋体"/>
                <w:color w:val="000000" w:themeColor="text1"/>
                <w:szCs w:val="21"/>
              </w:rPr>
            </w:pPr>
            <w:r>
              <w:rPr>
                <w:rFonts w:hint="eastAsia" w:ascii="宋体" w:hAnsi="宋体"/>
                <w:color w:val="000000" w:themeColor="text1"/>
                <w:szCs w:val="21"/>
              </w:rPr>
              <w:t>彩铅画训练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1"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动漫堡</w:t>
            </w:r>
          </w:p>
        </w:tc>
        <w:tc>
          <w:tcPr>
            <w:tcW w:w="1502"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2005.9</w:t>
            </w:r>
          </w:p>
        </w:tc>
        <w:tc>
          <w:tcPr>
            <w:tcW w:w="1376"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20</w:t>
            </w:r>
          </w:p>
        </w:tc>
        <w:tc>
          <w:tcPr>
            <w:tcW w:w="1659" w:type="dxa"/>
            <w:gridSpan w:val="2"/>
            <w:tcBorders>
              <w:right w:val="single" w:color="auto" w:sz="6" w:space="0"/>
            </w:tcBorders>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钱玲玲、沈红</w:t>
            </w:r>
          </w:p>
        </w:tc>
        <w:tc>
          <w:tcPr>
            <w:tcW w:w="2281" w:type="dxa"/>
            <w:tcBorders>
              <w:left w:val="single" w:color="auto" w:sz="6" w:space="0"/>
            </w:tcBorders>
          </w:tcPr>
          <w:p>
            <w:pPr>
              <w:tabs>
                <w:tab w:val="left" w:pos="9135"/>
              </w:tabs>
              <w:adjustRightInd w:val="0"/>
              <w:snapToGrid w:val="0"/>
              <w:spacing w:line="240" w:lineRule="atLeast"/>
              <w:jc w:val="left"/>
              <w:rPr>
                <w:rFonts w:ascii="宋体" w:hAnsi="宋体"/>
                <w:color w:val="000000" w:themeColor="text1"/>
                <w:szCs w:val="21"/>
              </w:rPr>
            </w:pPr>
            <w:r>
              <w:rPr>
                <w:rFonts w:hint="eastAsia" w:ascii="宋体" w:hAnsi="宋体"/>
                <w:color w:val="000000" w:themeColor="text1"/>
                <w:szCs w:val="21"/>
              </w:rPr>
              <w:t>漫画创作训练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1"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摄影社团</w:t>
            </w:r>
          </w:p>
        </w:tc>
        <w:tc>
          <w:tcPr>
            <w:tcW w:w="1502"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2005.9</w:t>
            </w:r>
          </w:p>
        </w:tc>
        <w:tc>
          <w:tcPr>
            <w:tcW w:w="1376"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23</w:t>
            </w:r>
          </w:p>
        </w:tc>
        <w:tc>
          <w:tcPr>
            <w:tcW w:w="1659" w:type="dxa"/>
            <w:gridSpan w:val="2"/>
            <w:tcBorders>
              <w:right w:val="single" w:color="auto" w:sz="6" w:space="0"/>
            </w:tcBorders>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刘新茹、吴燕</w:t>
            </w:r>
          </w:p>
        </w:tc>
        <w:tc>
          <w:tcPr>
            <w:tcW w:w="2281" w:type="dxa"/>
            <w:tcBorders>
              <w:left w:val="single" w:color="auto" w:sz="6" w:space="0"/>
            </w:tcBorders>
          </w:tcPr>
          <w:p>
            <w:pPr>
              <w:tabs>
                <w:tab w:val="left" w:pos="9135"/>
              </w:tabs>
              <w:adjustRightInd w:val="0"/>
              <w:snapToGrid w:val="0"/>
              <w:spacing w:line="240" w:lineRule="atLeast"/>
              <w:jc w:val="left"/>
              <w:rPr>
                <w:rFonts w:ascii="宋体" w:hAnsi="宋体"/>
                <w:color w:val="000000" w:themeColor="text1"/>
                <w:szCs w:val="21"/>
              </w:rPr>
            </w:pPr>
            <w:r>
              <w:rPr>
                <w:rFonts w:hint="eastAsia" w:ascii="宋体" w:hAnsi="宋体"/>
                <w:color w:val="000000" w:themeColor="text1"/>
                <w:szCs w:val="21"/>
              </w:rPr>
              <w:t>摄影技术训练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1"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素写淡然</w:t>
            </w:r>
          </w:p>
        </w:tc>
        <w:tc>
          <w:tcPr>
            <w:tcW w:w="1502"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2006.9</w:t>
            </w:r>
          </w:p>
        </w:tc>
        <w:tc>
          <w:tcPr>
            <w:tcW w:w="1376"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38</w:t>
            </w:r>
          </w:p>
        </w:tc>
        <w:tc>
          <w:tcPr>
            <w:tcW w:w="1659" w:type="dxa"/>
            <w:gridSpan w:val="2"/>
            <w:tcBorders>
              <w:right w:val="single" w:color="auto" w:sz="6" w:space="0"/>
            </w:tcBorders>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虞赛玉</w:t>
            </w:r>
          </w:p>
        </w:tc>
        <w:tc>
          <w:tcPr>
            <w:tcW w:w="2281" w:type="dxa"/>
            <w:tcBorders>
              <w:left w:val="single" w:color="auto" w:sz="6" w:space="0"/>
            </w:tcBorders>
          </w:tcPr>
          <w:p>
            <w:pPr>
              <w:tabs>
                <w:tab w:val="left" w:pos="9135"/>
              </w:tabs>
              <w:adjustRightInd w:val="0"/>
              <w:snapToGrid w:val="0"/>
              <w:spacing w:line="240" w:lineRule="atLeast"/>
              <w:jc w:val="left"/>
              <w:rPr>
                <w:rFonts w:ascii="宋体" w:hAnsi="宋体"/>
                <w:color w:val="000000" w:themeColor="text1"/>
                <w:szCs w:val="21"/>
              </w:rPr>
            </w:pPr>
            <w:r>
              <w:rPr>
                <w:rFonts w:hint="eastAsia" w:ascii="宋体" w:hAnsi="宋体"/>
                <w:color w:val="000000" w:themeColor="text1"/>
                <w:szCs w:val="21"/>
              </w:rPr>
              <w:t>素描训练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1"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排球社团</w:t>
            </w:r>
          </w:p>
        </w:tc>
        <w:tc>
          <w:tcPr>
            <w:tcW w:w="1502"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2002.9</w:t>
            </w:r>
          </w:p>
        </w:tc>
        <w:tc>
          <w:tcPr>
            <w:tcW w:w="1376"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11</w:t>
            </w:r>
          </w:p>
        </w:tc>
        <w:tc>
          <w:tcPr>
            <w:tcW w:w="1659" w:type="dxa"/>
            <w:gridSpan w:val="2"/>
            <w:tcBorders>
              <w:right w:val="single" w:color="auto" w:sz="6" w:space="0"/>
            </w:tcBorders>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张胜利</w:t>
            </w:r>
          </w:p>
        </w:tc>
        <w:tc>
          <w:tcPr>
            <w:tcW w:w="2281" w:type="dxa"/>
            <w:tcBorders>
              <w:left w:val="single" w:color="auto" w:sz="6" w:space="0"/>
            </w:tcBorders>
          </w:tcPr>
          <w:p>
            <w:pPr>
              <w:tabs>
                <w:tab w:val="left" w:pos="9135"/>
              </w:tabs>
              <w:adjustRightInd w:val="0"/>
              <w:snapToGrid w:val="0"/>
              <w:spacing w:line="240" w:lineRule="atLeast"/>
              <w:jc w:val="left"/>
              <w:rPr>
                <w:rFonts w:ascii="宋体" w:hAnsi="宋体"/>
                <w:color w:val="000000" w:themeColor="text1"/>
                <w:szCs w:val="21"/>
              </w:rPr>
            </w:pPr>
            <w:r>
              <w:rPr>
                <w:rFonts w:hint="eastAsia" w:ascii="宋体" w:hAnsi="宋体"/>
                <w:color w:val="000000" w:themeColor="text1"/>
                <w:szCs w:val="21"/>
              </w:rPr>
              <w:t>排球训练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1"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众音社</w:t>
            </w:r>
          </w:p>
        </w:tc>
        <w:tc>
          <w:tcPr>
            <w:tcW w:w="1502"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2006.9</w:t>
            </w:r>
          </w:p>
        </w:tc>
        <w:tc>
          <w:tcPr>
            <w:tcW w:w="1376"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41</w:t>
            </w:r>
          </w:p>
        </w:tc>
        <w:tc>
          <w:tcPr>
            <w:tcW w:w="1659" w:type="dxa"/>
            <w:gridSpan w:val="2"/>
            <w:tcBorders>
              <w:right w:val="single" w:color="auto" w:sz="6" w:space="0"/>
            </w:tcBorders>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庞金南、杨姗姗</w:t>
            </w:r>
          </w:p>
        </w:tc>
        <w:tc>
          <w:tcPr>
            <w:tcW w:w="2281" w:type="dxa"/>
            <w:tcBorders>
              <w:left w:val="single" w:color="auto" w:sz="6" w:space="0"/>
            </w:tcBorders>
          </w:tcPr>
          <w:p>
            <w:pPr>
              <w:tabs>
                <w:tab w:val="left" w:pos="9135"/>
              </w:tabs>
              <w:adjustRightInd w:val="0"/>
              <w:snapToGrid w:val="0"/>
              <w:spacing w:line="240" w:lineRule="atLeast"/>
              <w:jc w:val="left"/>
              <w:rPr>
                <w:rFonts w:ascii="宋体" w:hAnsi="宋体"/>
                <w:color w:val="000000" w:themeColor="text1"/>
                <w:szCs w:val="21"/>
              </w:rPr>
            </w:pPr>
            <w:r>
              <w:rPr>
                <w:rFonts w:hint="eastAsia" w:ascii="宋体" w:hAnsi="宋体"/>
                <w:color w:val="000000" w:themeColor="text1"/>
                <w:szCs w:val="21"/>
              </w:rPr>
              <w:t>发声练习、合唱训练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1"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科技社团</w:t>
            </w:r>
          </w:p>
        </w:tc>
        <w:tc>
          <w:tcPr>
            <w:tcW w:w="1502"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2008.9</w:t>
            </w:r>
          </w:p>
        </w:tc>
        <w:tc>
          <w:tcPr>
            <w:tcW w:w="1376"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16</w:t>
            </w:r>
          </w:p>
        </w:tc>
        <w:tc>
          <w:tcPr>
            <w:tcW w:w="1659" w:type="dxa"/>
            <w:gridSpan w:val="2"/>
            <w:tcBorders>
              <w:right w:val="single" w:color="auto" w:sz="6" w:space="0"/>
            </w:tcBorders>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俞秋锦</w:t>
            </w:r>
          </w:p>
        </w:tc>
        <w:tc>
          <w:tcPr>
            <w:tcW w:w="2281" w:type="dxa"/>
            <w:tcBorders>
              <w:left w:val="single" w:color="auto" w:sz="6" w:space="0"/>
            </w:tcBorders>
          </w:tcPr>
          <w:p>
            <w:pPr>
              <w:tabs>
                <w:tab w:val="left" w:pos="9135"/>
              </w:tabs>
              <w:adjustRightInd w:val="0"/>
              <w:snapToGrid w:val="0"/>
              <w:spacing w:line="240" w:lineRule="atLeast"/>
              <w:jc w:val="left"/>
              <w:rPr>
                <w:rFonts w:ascii="宋体" w:hAnsi="宋体"/>
                <w:color w:val="000000" w:themeColor="text1"/>
                <w:szCs w:val="21"/>
              </w:rPr>
            </w:pPr>
            <w:r>
              <w:rPr>
                <w:rFonts w:hint="eastAsia" w:ascii="宋体" w:hAnsi="宋体"/>
                <w:color w:val="000000" w:themeColor="text1"/>
                <w:szCs w:val="21"/>
              </w:rPr>
              <w:t>科普学习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1"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江南春文学社</w:t>
            </w:r>
          </w:p>
        </w:tc>
        <w:tc>
          <w:tcPr>
            <w:tcW w:w="1502"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1987.9</w:t>
            </w:r>
          </w:p>
        </w:tc>
        <w:tc>
          <w:tcPr>
            <w:tcW w:w="1376" w:type="dxa"/>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50</w:t>
            </w:r>
          </w:p>
        </w:tc>
        <w:tc>
          <w:tcPr>
            <w:tcW w:w="1659" w:type="dxa"/>
            <w:gridSpan w:val="2"/>
            <w:tcBorders>
              <w:right w:val="single" w:color="auto" w:sz="6" w:space="0"/>
            </w:tcBorders>
          </w:tcPr>
          <w:p>
            <w:pPr>
              <w:tabs>
                <w:tab w:val="left" w:pos="9135"/>
              </w:tabs>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巫小才</w:t>
            </w:r>
          </w:p>
        </w:tc>
        <w:tc>
          <w:tcPr>
            <w:tcW w:w="2281" w:type="dxa"/>
            <w:tcBorders>
              <w:left w:val="single" w:color="auto" w:sz="6" w:space="0"/>
            </w:tcBorders>
          </w:tcPr>
          <w:p>
            <w:pPr>
              <w:tabs>
                <w:tab w:val="left" w:pos="9135"/>
              </w:tabs>
              <w:adjustRightInd w:val="0"/>
              <w:snapToGrid w:val="0"/>
              <w:spacing w:line="240" w:lineRule="atLeast"/>
              <w:jc w:val="left"/>
              <w:rPr>
                <w:rFonts w:ascii="宋体" w:hAnsi="宋体"/>
                <w:color w:val="000000" w:themeColor="text1"/>
                <w:szCs w:val="21"/>
              </w:rPr>
            </w:pPr>
            <w:r>
              <w:rPr>
                <w:rFonts w:hint="eastAsia" w:ascii="宋体" w:hAnsi="宋体"/>
                <w:color w:val="000000" w:themeColor="text1"/>
                <w:szCs w:val="21"/>
              </w:rPr>
              <w:t>写作训练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81"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Arial" w:hAnsi="Arial" w:cs="Arial"/>
                <w:color w:val="000000"/>
                <w:sz w:val="20"/>
              </w:rPr>
              <w:t>洛高之声广播站</w:t>
            </w:r>
          </w:p>
        </w:tc>
        <w:tc>
          <w:tcPr>
            <w:tcW w:w="1502" w:type="dxa"/>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rPr>
              <w:t>2013.9</w:t>
            </w:r>
          </w:p>
        </w:tc>
        <w:tc>
          <w:tcPr>
            <w:tcW w:w="1376" w:type="dxa"/>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rPr>
              <w:t>16</w:t>
            </w:r>
            <w:r>
              <w:rPr>
                <w:rFonts w:ascii="宋体" w:hAnsi="宋体"/>
                <w:szCs w:val="21"/>
              </w:rPr>
              <w:t xml:space="preserve"> </w:t>
            </w:r>
          </w:p>
        </w:tc>
        <w:tc>
          <w:tcPr>
            <w:tcW w:w="1644" w:type="dxa"/>
            <w:tcBorders>
              <w:top w:val="single" w:color="auto" w:sz="4" w:space="0"/>
              <w:left w:val="nil"/>
              <w:bottom w:val="single" w:color="auto" w:sz="4" w:space="0"/>
              <w:right w:val="single" w:color="auto" w:sz="6" w:space="0"/>
            </w:tcBorders>
          </w:tcPr>
          <w:p>
            <w:pPr>
              <w:adjustRightInd w:val="0"/>
              <w:snapToGrid w:val="0"/>
              <w:spacing w:line="240" w:lineRule="atLeast"/>
              <w:jc w:val="center"/>
              <w:rPr>
                <w:rFonts w:ascii="宋体" w:hAnsi="宋体"/>
                <w:szCs w:val="21"/>
              </w:rPr>
            </w:pPr>
            <w:r>
              <w:rPr>
                <w:rFonts w:hint="eastAsia" w:ascii="宋体" w:hAnsi="宋体"/>
              </w:rPr>
              <w:t>刘超</w:t>
            </w:r>
          </w:p>
        </w:tc>
        <w:tc>
          <w:tcPr>
            <w:tcW w:w="2296" w:type="dxa"/>
            <w:gridSpan w:val="2"/>
            <w:tcBorders>
              <w:top w:val="single" w:color="auto" w:sz="4" w:space="0"/>
              <w:left w:val="nil"/>
              <w:bottom w:val="single" w:color="auto" w:sz="4" w:space="0"/>
              <w:right w:val="single" w:color="auto" w:sz="4" w:space="0"/>
            </w:tcBorders>
          </w:tcPr>
          <w:p>
            <w:pPr>
              <w:adjustRightInd w:val="0"/>
              <w:snapToGrid w:val="0"/>
              <w:spacing w:line="240" w:lineRule="atLeast"/>
              <w:jc w:val="left"/>
              <w:rPr>
                <w:rFonts w:ascii="宋体" w:hAnsi="宋体"/>
                <w:szCs w:val="21"/>
              </w:rPr>
            </w:pPr>
            <w:r>
              <w:rPr>
                <w:rFonts w:hint="eastAsia" w:ascii="宋体" w:hAnsi="宋体"/>
              </w:rPr>
              <w:t>新闻播报和主持技巧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81"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rPr>
              <w:t>洛高国旗班</w:t>
            </w:r>
          </w:p>
        </w:tc>
        <w:tc>
          <w:tcPr>
            <w:tcW w:w="1502" w:type="dxa"/>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rPr>
              <w:t>2013.9</w:t>
            </w:r>
          </w:p>
        </w:tc>
        <w:tc>
          <w:tcPr>
            <w:tcW w:w="1376" w:type="dxa"/>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rPr>
              <w:t>25</w:t>
            </w:r>
          </w:p>
        </w:tc>
        <w:tc>
          <w:tcPr>
            <w:tcW w:w="1644" w:type="dxa"/>
            <w:tcBorders>
              <w:top w:val="single" w:color="auto" w:sz="4" w:space="0"/>
              <w:left w:val="nil"/>
              <w:bottom w:val="single" w:color="auto" w:sz="4" w:space="0"/>
              <w:right w:val="single" w:color="auto" w:sz="6" w:space="0"/>
            </w:tcBorders>
          </w:tcPr>
          <w:p>
            <w:pPr>
              <w:adjustRightInd w:val="0"/>
              <w:snapToGrid w:val="0"/>
              <w:spacing w:line="240" w:lineRule="atLeast"/>
              <w:jc w:val="center"/>
              <w:rPr>
                <w:rFonts w:ascii="宋体" w:hAnsi="宋体"/>
                <w:szCs w:val="21"/>
              </w:rPr>
            </w:pPr>
            <w:r>
              <w:rPr>
                <w:rFonts w:hint="eastAsia" w:ascii="宋体" w:hAnsi="宋体"/>
              </w:rPr>
              <w:t>冯凯</w:t>
            </w:r>
          </w:p>
        </w:tc>
        <w:tc>
          <w:tcPr>
            <w:tcW w:w="2296" w:type="dxa"/>
            <w:gridSpan w:val="2"/>
            <w:tcBorders>
              <w:top w:val="single" w:color="auto" w:sz="4" w:space="0"/>
              <w:left w:val="nil"/>
              <w:bottom w:val="single" w:color="auto" w:sz="4" w:space="0"/>
              <w:right w:val="single" w:color="auto" w:sz="4" w:space="0"/>
            </w:tcBorders>
          </w:tcPr>
          <w:p>
            <w:pPr>
              <w:adjustRightInd w:val="0"/>
              <w:snapToGrid w:val="0"/>
              <w:spacing w:line="240" w:lineRule="atLeast"/>
              <w:jc w:val="left"/>
              <w:rPr>
                <w:rFonts w:ascii="宋体" w:hAnsi="宋体"/>
                <w:szCs w:val="21"/>
              </w:rPr>
            </w:pPr>
            <w:r>
              <w:rPr>
                <w:rFonts w:hint="eastAsia" w:ascii="宋体" w:hAnsi="宋体"/>
              </w:rPr>
              <w:t>升国旗和国旗护卫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81"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rPr>
              <w:t>洛高小记者</w:t>
            </w:r>
          </w:p>
        </w:tc>
        <w:tc>
          <w:tcPr>
            <w:tcW w:w="1502" w:type="dxa"/>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rPr>
              <w:t>2013.9</w:t>
            </w:r>
          </w:p>
        </w:tc>
        <w:tc>
          <w:tcPr>
            <w:tcW w:w="1376" w:type="dxa"/>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rPr>
              <w:t>20</w:t>
            </w:r>
            <w:r>
              <w:rPr>
                <w:rFonts w:ascii="宋体" w:hAnsi="宋体"/>
                <w:szCs w:val="21"/>
              </w:rPr>
              <w:t xml:space="preserve"> </w:t>
            </w:r>
          </w:p>
        </w:tc>
        <w:tc>
          <w:tcPr>
            <w:tcW w:w="1644" w:type="dxa"/>
            <w:tcBorders>
              <w:top w:val="single" w:color="auto" w:sz="4" w:space="0"/>
              <w:left w:val="nil"/>
              <w:bottom w:val="single" w:color="auto" w:sz="4" w:space="0"/>
              <w:right w:val="single" w:color="auto" w:sz="6" w:space="0"/>
            </w:tcBorders>
          </w:tcPr>
          <w:p>
            <w:pPr>
              <w:adjustRightInd w:val="0"/>
              <w:snapToGrid w:val="0"/>
              <w:spacing w:line="240" w:lineRule="atLeast"/>
              <w:jc w:val="center"/>
              <w:rPr>
                <w:rFonts w:ascii="宋体" w:hAnsi="宋体"/>
                <w:szCs w:val="21"/>
              </w:rPr>
            </w:pPr>
            <w:r>
              <w:rPr>
                <w:rFonts w:hint="eastAsia" w:ascii="宋体" w:hAnsi="宋体"/>
              </w:rPr>
              <w:t>费云德</w:t>
            </w:r>
          </w:p>
        </w:tc>
        <w:tc>
          <w:tcPr>
            <w:tcW w:w="2296" w:type="dxa"/>
            <w:gridSpan w:val="2"/>
            <w:tcBorders>
              <w:top w:val="single" w:color="auto" w:sz="4" w:space="0"/>
              <w:left w:val="nil"/>
              <w:bottom w:val="single" w:color="auto" w:sz="4" w:space="0"/>
              <w:right w:val="single" w:color="auto" w:sz="4" w:space="0"/>
            </w:tcBorders>
          </w:tcPr>
          <w:p>
            <w:pPr>
              <w:adjustRightInd w:val="0"/>
              <w:snapToGrid w:val="0"/>
              <w:spacing w:line="240" w:lineRule="atLeast"/>
              <w:jc w:val="left"/>
              <w:rPr>
                <w:rFonts w:ascii="宋体" w:hAnsi="宋体"/>
                <w:szCs w:val="21"/>
              </w:rPr>
            </w:pPr>
            <w:r>
              <w:rPr>
                <w:rFonts w:hint="eastAsia" w:ascii="宋体" w:hAnsi="宋体"/>
              </w:rPr>
              <w:t>新闻撰写和摄影技巧</w:t>
            </w:r>
          </w:p>
        </w:tc>
      </w:tr>
    </w:tbl>
    <w:p>
      <w:pPr>
        <w:tabs>
          <w:tab w:val="left" w:pos="0"/>
        </w:tabs>
        <w:spacing w:line="560" w:lineRule="exact"/>
        <w:ind w:right="560"/>
      </w:pPr>
      <w:r>
        <w:rPr>
          <w:rFonts w:hint="eastAsia" w:ascii="宋体"/>
          <w:b/>
          <w:sz w:val="28"/>
          <w:szCs w:val="28"/>
        </w:rPr>
        <w:t>13.选修Ⅱ课程执行情况表</w:t>
      </w:r>
      <w:r>
        <w:rPr>
          <w:rFonts w:hint="eastAsia"/>
        </w:rPr>
        <w:t xml:space="preserve"> </w:t>
      </w:r>
    </w:p>
    <w:tbl>
      <w:tblPr>
        <w:tblStyle w:val="14"/>
        <w:tblW w:w="9356" w:type="dxa"/>
        <w:jc w:val="center"/>
        <w:tblInd w:w="-459" w:type="dxa"/>
        <w:tblLayout w:type="fixed"/>
        <w:tblCellMar>
          <w:top w:w="0" w:type="dxa"/>
          <w:left w:w="108" w:type="dxa"/>
          <w:bottom w:w="0" w:type="dxa"/>
          <w:right w:w="108" w:type="dxa"/>
        </w:tblCellMar>
      </w:tblPr>
      <w:tblGrid>
        <w:gridCol w:w="993"/>
        <w:gridCol w:w="2409"/>
        <w:gridCol w:w="709"/>
        <w:gridCol w:w="709"/>
        <w:gridCol w:w="709"/>
        <w:gridCol w:w="992"/>
        <w:gridCol w:w="709"/>
        <w:gridCol w:w="708"/>
        <w:gridCol w:w="709"/>
        <w:gridCol w:w="709"/>
      </w:tblGrid>
      <w:tr>
        <w:tblPrEx>
          <w:tblLayout w:type="fixed"/>
          <w:tblCellMar>
            <w:top w:w="0" w:type="dxa"/>
            <w:left w:w="108" w:type="dxa"/>
            <w:bottom w:w="0" w:type="dxa"/>
            <w:right w:w="108" w:type="dxa"/>
          </w:tblCellMar>
        </w:tblPrEx>
        <w:trPr>
          <w:trHeight w:val="270" w:hRule="atLeast"/>
          <w:jc w:val="center"/>
        </w:trPr>
        <w:tc>
          <w:tcPr>
            <w:tcW w:w="9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学年度</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课程名称</w:t>
            </w:r>
          </w:p>
        </w:tc>
        <w:tc>
          <w:tcPr>
            <w:tcW w:w="709" w:type="dxa"/>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周课</w:t>
            </w:r>
          </w:p>
          <w:p>
            <w:pPr>
              <w:jc w:val="center"/>
              <w:rPr>
                <w:rFonts w:ascii="宋体" w:hAnsi="宋体" w:cs="宋体"/>
                <w:color w:val="000000"/>
                <w:kern w:val="0"/>
                <w:szCs w:val="21"/>
              </w:rPr>
            </w:pPr>
            <w:r>
              <w:rPr>
                <w:rFonts w:hint="eastAsia" w:ascii="宋体" w:hAnsi="宋体" w:cs="宋体"/>
                <w:color w:val="000000"/>
                <w:kern w:val="0"/>
                <w:szCs w:val="21"/>
              </w:rPr>
              <w:t>时数</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年级</w:t>
            </w:r>
          </w:p>
        </w:tc>
        <w:tc>
          <w:tcPr>
            <w:tcW w:w="709" w:type="dxa"/>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选修</w:t>
            </w:r>
          </w:p>
          <w:p>
            <w:pPr>
              <w:jc w:val="center"/>
              <w:rPr>
                <w:rFonts w:ascii="宋体" w:hAnsi="宋体" w:cs="宋体"/>
                <w:color w:val="000000"/>
                <w:kern w:val="0"/>
                <w:szCs w:val="21"/>
              </w:rPr>
            </w:pPr>
            <w:r>
              <w:rPr>
                <w:rFonts w:hint="eastAsia" w:ascii="宋体" w:hAnsi="宋体" w:cs="宋体"/>
                <w:color w:val="000000"/>
                <w:kern w:val="0"/>
                <w:szCs w:val="21"/>
              </w:rPr>
              <w:t>人数</w:t>
            </w:r>
          </w:p>
        </w:tc>
        <w:tc>
          <w:tcPr>
            <w:tcW w:w="992" w:type="dxa"/>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执教</w:t>
            </w:r>
          </w:p>
          <w:p>
            <w:pPr>
              <w:jc w:val="center"/>
              <w:rPr>
                <w:rFonts w:ascii="宋体" w:hAnsi="宋体" w:cs="宋体"/>
                <w:color w:val="000000"/>
                <w:kern w:val="0"/>
                <w:szCs w:val="21"/>
              </w:rPr>
            </w:pPr>
            <w:r>
              <w:rPr>
                <w:rFonts w:hint="eastAsia" w:ascii="宋体" w:hAnsi="宋体" w:cs="宋体"/>
                <w:color w:val="000000"/>
                <w:kern w:val="0"/>
                <w:szCs w:val="21"/>
              </w:rPr>
              <w:t>教师</w:t>
            </w:r>
          </w:p>
        </w:tc>
        <w:tc>
          <w:tcPr>
            <w:tcW w:w="212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r>
              <w:rPr>
                <w:rFonts w:hint="eastAsia" w:ascii="宋体" w:hAnsi="宋体"/>
                <w:szCs w:val="21"/>
              </w:rPr>
              <w:t>是否有</w:t>
            </w:r>
          </w:p>
        </w:tc>
        <w:tc>
          <w:tcPr>
            <w:tcW w:w="709" w:type="dxa"/>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开设</w:t>
            </w:r>
          </w:p>
          <w:p>
            <w:pPr>
              <w:jc w:val="center"/>
              <w:rPr>
                <w:rFonts w:ascii="宋体" w:hAnsi="宋体" w:cs="宋体"/>
                <w:color w:val="000000"/>
                <w:kern w:val="0"/>
                <w:szCs w:val="21"/>
              </w:rPr>
            </w:pPr>
            <w:r>
              <w:rPr>
                <w:rFonts w:hint="eastAsia" w:ascii="宋体" w:hAnsi="宋体" w:cs="宋体"/>
                <w:color w:val="000000"/>
                <w:kern w:val="0"/>
                <w:szCs w:val="21"/>
              </w:rPr>
              <w:t>年数</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09"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09"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大纲</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教材</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课件</w:t>
            </w:r>
          </w:p>
        </w:tc>
        <w:tc>
          <w:tcPr>
            <w:tcW w:w="709"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40" w:hRule="atLeast"/>
          <w:jc w:val="center"/>
        </w:trPr>
        <w:tc>
          <w:tcPr>
            <w:tcW w:w="99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2014-</w:t>
            </w:r>
          </w:p>
          <w:p>
            <w:pPr>
              <w:widowControl/>
              <w:jc w:val="center"/>
              <w:rPr>
                <w:rFonts w:ascii="宋体" w:hAnsi="宋体" w:cs="宋体"/>
                <w:color w:val="000000"/>
                <w:kern w:val="0"/>
                <w:szCs w:val="21"/>
              </w:rPr>
            </w:pPr>
            <w:r>
              <w:rPr>
                <w:rFonts w:hint="eastAsia" w:ascii="宋体" w:hAnsi="宋体" w:cs="宋体"/>
                <w:color w:val="000000"/>
                <w:kern w:val="0"/>
                <w:szCs w:val="21"/>
              </w:rPr>
              <w:t>2015</w:t>
            </w: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Daily English(即学即用.身边的英语）</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周建扬</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大众文化与文学</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贾湘玉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动植物标本采集及制作</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俞秋锦</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汉字文化</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张瑛</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化学与材料</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樊耀平</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化学与环境</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顾涛</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化学与健康</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张娟</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卡通的欣赏与制作</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虞赛玉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卡通艺术（手绘）</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54</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钱玲玲</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漫谈化学元素</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27</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王坚</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生活中的生物</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29</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韩丽</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生物世界的奥秘</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27</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潘峰</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Cs w:val="21"/>
              </w:rPr>
            </w:pPr>
            <w:r>
              <w:rPr>
                <w:rFonts w:hint="eastAsia" w:ascii="宋体" w:hAnsi="宋体" w:cs="宋体"/>
                <w:color w:val="000000"/>
                <w:kern w:val="0"/>
                <w:szCs w:val="21"/>
              </w:rPr>
              <w:t>食物的营养与人体健康</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周源泉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数学和生活</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谷军文</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锡剧文化</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许 虹</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现代生活与物理</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胡春燕</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艺术与人生</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416</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沈红</w:t>
            </w:r>
          </w:p>
          <w:p>
            <w:pPr>
              <w:widowControl/>
              <w:jc w:val="center"/>
              <w:rPr>
                <w:rFonts w:ascii="宋体" w:hAnsi="宋体" w:cs="宋体"/>
                <w:color w:val="000000"/>
                <w:kern w:val="0"/>
                <w:szCs w:val="21"/>
              </w:rPr>
            </w:pPr>
            <w:r>
              <w:rPr>
                <w:rFonts w:hint="eastAsia" w:ascii="宋体" w:hAnsi="宋体" w:cs="宋体"/>
                <w:color w:val="000000"/>
                <w:kern w:val="0"/>
                <w:szCs w:val="21"/>
              </w:rPr>
              <w:t>严桃梨虞赛玉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饮食与文化</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包涵军</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中国传统节日</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52</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周广宇童勇</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中国经典名画赏析</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54</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吴燕</w:t>
            </w:r>
          </w:p>
          <w:p>
            <w:pPr>
              <w:widowControl/>
              <w:jc w:val="center"/>
              <w:rPr>
                <w:rFonts w:ascii="宋体" w:hAnsi="宋体" w:cs="宋体"/>
                <w:color w:val="000000"/>
                <w:kern w:val="0"/>
                <w:szCs w:val="21"/>
              </w:rPr>
            </w:pPr>
            <w:r>
              <w:rPr>
                <w:rFonts w:hint="eastAsia" w:ascii="宋体" w:hAnsi="宋体" w:cs="宋体"/>
                <w:color w:val="000000"/>
                <w:kern w:val="0"/>
                <w:szCs w:val="21"/>
              </w:rPr>
              <w:t>刘超</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中学趣味物理</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27</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吴伟庆</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走进中国画</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26</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张桔</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走近装饰画</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沈红</w:t>
            </w:r>
          </w:p>
          <w:p>
            <w:pPr>
              <w:widowControl/>
              <w:jc w:val="center"/>
              <w:rPr>
                <w:rFonts w:ascii="宋体" w:hAnsi="宋体" w:cs="宋体"/>
                <w:color w:val="000000"/>
                <w:kern w:val="0"/>
                <w:szCs w:val="21"/>
              </w:rPr>
            </w:pPr>
            <w:r>
              <w:rPr>
                <w:rFonts w:hint="eastAsia" w:ascii="宋体" w:hAnsi="宋体" w:cs="宋体"/>
                <w:color w:val="000000"/>
                <w:kern w:val="0"/>
                <w:szCs w:val="21"/>
              </w:rPr>
              <w:t>秦旻</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Layout w:type="fixed"/>
          <w:tblCellMar>
            <w:top w:w="0" w:type="dxa"/>
            <w:left w:w="108" w:type="dxa"/>
            <w:bottom w:w="0" w:type="dxa"/>
            <w:right w:w="108" w:type="dxa"/>
          </w:tblCellMar>
        </w:tblPrEx>
        <w:trPr>
          <w:trHeight w:val="54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激励成长，发展生命——高三励志教育</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班主任等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无</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Flash 入门与进阶</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郭劲华</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变废为宝DIY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47</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谈燕华</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大众文化与文学</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冯凯</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卡通艺术(手绘)</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严桃梨</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礼仪与生活</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426</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李佳英宣建英</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漫谈化学元素</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王坚</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趣味新语文</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岳敏锋</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生活中的生物</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韩丽</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生命成长之人生规划</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426</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宣建英崔勇</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Cs w:val="21"/>
              </w:rPr>
            </w:pPr>
            <w:r>
              <w:rPr>
                <w:rFonts w:hint="eastAsia" w:ascii="宋体" w:hAnsi="宋体" w:cs="宋体"/>
                <w:color w:val="000000"/>
                <w:kern w:val="0"/>
                <w:szCs w:val="21"/>
              </w:rPr>
              <w:t>食物中的营养与人体健康</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55</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周源泉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数学和生活</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姜卫坚</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数学文化</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徐莉芬</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西方经典名画赏析</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刘新茹</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循序渐进.英语写作</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杨小波</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英文电影经典台词</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59</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张建芬</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中外名曲欣赏</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426</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谈菁</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Layout w:type="fixed"/>
          <w:tblCellMar>
            <w:top w:w="0" w:type="dxa"/>
            <w:left w:w="108" w:type="dxa"/>
            <w:bottom w:w="0" w:type="dxa"/>
            <w:right w:w="108" w:type="dxa"/>
          </w:tblCellMar>
        </w:tblPrEx>
        <w:trPr>
          <w:trHeight w:val="54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中西方文化比较</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徐莹</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走进中国画</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张桔</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Layout w:type="fixed"/>
          <w:tblCellMar>
            <w:top w:w="0" w:type="dxa"/>
            <w:left w:w="108" w:type="dxa"/>
            <w:bottom w:w="0" w:type="dxa"/>
            <w:right w:w="108" w:type="dxa"/>
          </w:tblCellMar>
        </w:tblPrEx>
        <w:trPr>
          <w:trHeight w:val="270" w:hRule="atLeast"/>
          <w:jc w:val="center"/>
        </w:trPr>
        <w:tc>
          <w:tcPr>
            <w:tcW w:w="99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2015-</w:t>
            </w:r>
          </w:p>
          <w:p>
            <w:pPr>
              <w:widowControl/>
              <w:jc w:val="center"/>
              <w:rPr>
                <w:rFonts w:ascii="宋体" w:hAnsi="宋体" w:cs="宋体"/>
                <w:color w:val="000000"/>
                <w:kern w:val="0"/>
                <w:szCs w:val="21"/>
              </w:rPr>
            </w:pPr>
            <w:r>
              <w:rPr>
                <w:rFonts w:hint="eastAsia" w:ascii="宋体" w:hAnsi="宋体" w:cs="宋体"/>
                <w:color w:val="000000"/>
                <w:kern w:val="0"/>
                <w:szCs w:val="21"/>
              </w:rPr>
              <w:t>2016</w:t>
            </w: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动植物标本采集及制作</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29</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俞秋锦</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化学与材料</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24</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樊耀平</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化学与环境</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23</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顾涛</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化学与健康</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29</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张娟</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卡通艺术（手绘）</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严桃梨</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漫谈化学元素</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22</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王坚</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生活中的生物</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25</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韩丽</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Cs w:val="21"/>
              </w:rPr>
            </w:pPr>
            <w:r>
              <w:rPr>
                <w:rFonts w:hint="eastAsia" w:ascii="宋体" w:hAnsi="宋体" w:cs="宋体"/>
                <w:color w:val="000000"/>
                <w:kern w:val="0"/>
                <w:szCs w:val="21"/>
              </w:rPr>
              <w:t>食物的营养与人体健康</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周源泉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现代生活与物理</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胡春燕</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艺术与人生</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413</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美术组</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中国传统节日</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黄亚红</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Cs w:val="21"/>
              </w:rPr>
            </w:pPr>
            <w:r>
              <w:rPr>
                <w:rFonts w:hint="eastAsia" w:ascii="宋体" w:hAnsi="宋体" w:cs="宋体"/>
                <w:color w:val="000000"/>
                <w:kern w:val="0"/>
                <w:szCs w:val="21"/>
              </w:rPr>
              <w:t>中国经典名画赏析</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吴燕</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r>
      <w:tr>
        <w:tblPrEx>
          <w:tblLayout w:type="fixed"/>
          <w:tblCellMar>
            <w:top w:w="0" w:type="dxa"/>
            <w:left w:w="108" w:type="dxa"/>
            <w:bottom w:w="0" w:type="dxa"/>
            <w:right w:w="108" w:type="dxa"/>
          </w:tblCellMar>
        </w:tblPrEx>
        <w:trPr>
          <w:trHeight w:val="363"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中西方文化比较</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32</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许光英</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中学趣味物理</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22</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吴伟庆</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走进中国画</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张桔</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走近装饰画</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沈红</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r>
      <w:tr>
        <w:tblPrEx>
          <w:tblLayout w:type="fixed"/>
          <w:tblCellMar>
            <w:top w:w="0" w:type="dxa"/>
            <w:left w:w="108" w:type="dxa"/>
            <w:bottom w:w="0" w:type="dxa"/>
            <w:right w:w="108" w:type="dxa"/>
          </w:tblCellMar>
        </w:tblPrEx>
        <w:trPr>
          <w:trHeight w:val="54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激励成长，发展生命——高三励志教育</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435</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班主任等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无</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30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变废为宝</w:t>
            </w:r>
            <w:r>
              <w:rPr>
                <w:color w:val="000000"/>
                <w:kern w:val="0"/>
                <w:szCs w:val="21"/>
              </w:rPr>
              <w:t>DIY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47</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谈燕华</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6</w:t>
            </w:r>
          </w:p>
        </w:tc>
      </w:tr>
      <w:tr>
        <w:tblPrEx>
          <w:tblLayout w:type="fixed"/>
          <w:tblCellMar>
            <w:top w:w="0" w:type="dxa"/>
            <w:left w:w="108" w:type="dxa"/>
            <w:bottom w:w="0" w:type="dxa"/>
            <w:right w:w="108" w:type="dxa"/>
          </w:tblCellMar>
        </w:tblPrEx>
        <w:trPr>
          <w:trHeight w:val="30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动植物标本采集及制作</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57</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俞秋锦</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6</w:t>
            </w:r>
          </w:p>
        </w:tc>
      </w:tr>
      <w:tr>
        <w:tblPrEx>
          <w:tblLayout w:type="fixed"/>
          <w:tblCellMar>
            <w:top w:w="0" w:type="dxa"/>
            <w:left w:w="108" w:type="dxa"/>
            <w:bottom w:w="0" w:type="dxa"/>
            <w:right w:w="108" w:type="dxa"/>
          </w:tblCellMar>
        </w:tblPrEx>
        <w:trPr>
          <w:trHeight w:val="30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汉字文化</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56</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巫小才</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8</w:t>
            </w:r>
          </w:p>
        </w:tc>
      </w:tr>
      <w:tr>
        <w:tblPrEx>
          <w:tblLayout w:type="fixed"/>
          <w:tblCellMar>
            <w:top w:w="0" w:type="dxa"/>
            <w:left w:w="108" w:type="dxa"/>
            <w:bottom w:w="0" w:type="dxa"/>
            <w:right w:w="108" w:type="dxa"/>
          </w:tblCellMar>
        </w:tblPrEx>
        <w:trPr>
          <w:trHeight w:val="30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卡通艺术（手绘）</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single" w:color="auto" w:sz="4" w:space="0"/>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57</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严桃梨</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single" w:color="auto" w:sz="4" w:space="0"/>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8</w:t>
            </w:r>
          </w:p>
        </w:tc>
      </w:tr>
      <w:tr>
        <w:tblPrEx>
          <w:tblLayout w:type="fixed"/>
          <w:tblCellMar>
            <w:top w:w="0" w:type="dxa"/>
            <w:left w:w="108" w:type="dxa"/>
            <w:bottom w:w="0" w:type="dxa"/>
            <w:right w:w="108" w:type="dxa"/>
          </w:tblCellMar>
        </w:tblPrEx>
        <w:trPr>
          <w:trHeight w:val="30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礼仪与生活</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437</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李佳英宣建英徐莹</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8</w:t>
            </w:r>
          </w:p>
        </w:tc>
      </w:tr>
      <w:tr>
        <w:tblPrEx>
          <w:tblLayout w:type="fixed"/>
          <w:tblCellMar>
            <w:top w:w="0" w:type="dxa"/>
            <w:left w:w="108" w:type="dxa"/>
            <w:bottom w:w="0" w:type="dxa"/>
            <w:right w:w="108" w:type="dxa"/>
          </w:tblCellMar>
        </w:tblPrEx>
        <w:trPr>
          <w:trHeight w:val="30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漫谈化学元素</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45</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王</w:t>
            </w:r>
            <w:r>
              <w:rPr>
                <w:color w:val="000000"/>
                <w:kern w:val="0"/>
                <w:szCs w:val="21"/>
              </w:rPr>
              <w:t xml:space="preserve">  </w:t>
            </w:r>
            <w:r>
              <w:rPr>
                <w:rFonts w:hint="eastAsia" w:ascii="宋体" w:hAnsi="宋体" w:cs="宋体"/>
                <w:color w:val="000000"/>
                <w:kern w:val="0"/>
                <w:szCs w:val="21"/>
              </w:rPr>
              <w:t>坚</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8</w:t>
            </w:r>
          </w:p>
        </w:tc>
      </w:tr>
      <w:tr>
        <w:tblPrEx>
          <w:tblLayout w:type="fixed"/>
          <w:tblCellMar>
            <w:top w:w="0" w:type="dxa"/>
            <w:left w:w="108" w:type="dxa"/>
            <w:bottom w:w="0" w:type="dxa"/>
            <w:right w:w="108" w:type="dxa"/>
          </w:tblCellMar>
        </w:tblPrEx>
        <w:trPr>
          <w:trHeight w:val="30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趣味新语文</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51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曹家生</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6</w:t>
            </w:r>
          </w:p>
        </w:tc>
      </w:tr>
      <w:tr>
        <w:tblPrEx>
          <w:tblLayout w:type="fixed"/>
          <w:tblCellMar>
            <w:top w:w="0" w:type="dxa"/>
            <w:left w:w="108" w:type="dxa"/>
            <w:bottom w:w="0" w:type="dxa"/>
            <w:right w:w="108" w:type="dxa"/>
          </w:tblCellMar>
        </w:tblPrEx>
        <w:trPr>
          <w:trHeight w:val="30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生活中的生物</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52</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韩</w:t>
            </w:r>
            <w:r>
              <w:rPr>
                <w:color w:val="000000"/>
                <w:kern w:val="0"/>
                <w:szCs w:val="21"/>
              </w:rPr>
              <w:t xml:space="preserve">  </w:t>
            </w:r>
            <w:r>
              <w:rPr>
                <w:rFonts w:hint="eastAsia" w:ascii="宋体" w:hAnsi="宋体" w:cs="宋体"/>
                <w:color w:val="000000"/>
                <w:kern w:val="0"/>
                <w:szCs w:val="21"/>
              </w:rPr>
              <w:t>丽</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8</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生命成长之人生规划</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433</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李佳英宣建英徐莹</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Layout w:type="fixed"/>
          <w:tblCellMar>
            <w:top w:w="0" w:type="dxa"/>
            <w:left w:w="108" w:type="dxa"/>
            <w:bottom w:w="0" w:type="dxa"/>
            <w:right w:w="108" w:type="dxa"/>
          </w:tblCellMar>
        </w:tblPrEx>
        <w:trPr>
          <w:trHeight w:val="30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生物世界的奥秘</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49</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周源泉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6</w:t>
            </w:r>
          </w:p>
        </w:tc>
      </w:tr>
      <w:tr>
        <w:tblPrEx>
          <w:tblLayout w:type="fixed"/>
          <w:tblCellMar>
            <w:top w:w="0" w:type="dxa"/>
            <w:left w:w="108" w:type="dxa"/>
            <w:bottom w:w="0" w:type="dxa"/>
            <w:right w:w="108" w:type="dxa"/>
          </w:tblCellMar>
        </w:tblPrEx>
        <w:trPr>
          <w:trHeight w:val="30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数学文化</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50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吴春霞</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6</w:t>
            </w:r>
          </w:p>
        </w:tc>
      </w:tr>
      <w:tr>
        <w:tblPrEx>
          <w:tblLayout w:type="fixed"/>
          <w:tblCellMar>
            <w:top w:w="0" w:type="dxa"/>
            <w:left w:w="108" w:type="dxa"/>
            <w:bottom w:w="0" w:type="dxa"/>
            <w:right w:w="108" w:type="dxa"/>
          </w:tblCellMar>
        </w:tblPrEx>
        <w:trPr>
          <w:trHeight w:val="30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西方经典名画赏析</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虞赛玉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r>
      <w:tr>
        <w:tblPrEx>
          <w:tblLayout w:type="fixed"/>
          <w:tblCellMar>
            <w:top w:w="0" w:type="dxa"/>
            <w:left w:w="108" w:type="dxa"/>
            <w:bottom w:w="0" w:type="dxa"/>
            <w:right w:w="108" w:type="dxa"/>
          </w:tblCellMar>
        </w:tblPrEx>
        <w:trPr>
          <w:trHeight w:val="30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rPr>
                <w:color w:val="000000"/>
                <w:kern w:val="0"/>
                <w:szCs w:val="21"/>
              </w:rPr>
            </w:pPr>
            <w:r>
              <w:rPr>
                <w:rFonts w:hint="eastAsia" w:ascii="宋体" w:hAnsi="宋体"/>
                <w:color w:val="000000"/>
                <w:kern w:val="0"/>
                <w:szCs w:val="21"/>
              </w:rPr>
              <w:t>循序渐进</w:t>
            </w:r>
            <w:r>
              <w:rPr>
                <w:color w:val="000000"/>
                <w:kern w:val="0"/>
                <w:szCs w:val="21"/>
              </w:rPr>
              <w:t xml:space="preserve"> </w:t>
            </w:r>
            <w:r>
              <w:rPr>
                <w:rFonts w:hint="eastAsia" w:ascii="宋体" w:hAnsi="宋体"/>
                <w:color w:val="000000"/>
                <w:kern w:val="0"/>
                <w:szCs w:val="21"/>
              </w:rPr>
              <w:t>英语作文</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58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王联锋</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8</w:t>
            </w:r>
          </w:p>
        </w:tc>
      </w:tr>
      <w:tr>
        <w:tblPrEx>
          <w:tblLayout w:type="fixed"/>
          <w:tblCellMar>
            <w:top w:w="0" w:type="dxa"/>
            <w:left w:w="108" w:type="dxa"/>
            <w:bottom w:w="0" w:type="dxa"/>
            <w:right w:w="108" w:type="dxa"/>
          </w:tblCellMar>
        </w:tblPrEx>
        <w:trPr>
          <w:trHeight w:val="30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英文电影经典台词</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54</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费云德</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6</w:t>
            </w:r>
          </w:p>
        </w:tc>
      </w:tr>
      <w:tr>
        <w:tblPrEx>
          <w:tblLayout w:type="fixed"/>
          <w:tblCellMar>
            <w:top w:w="0" w:type="dxa"/>
            <w:left w:w="108" w:type="dxa"/>
            <w:bottom w:w="0" w:type="dxa"/>
            <w:right w:w="108" w:type="dxa"/>
          </w:tblCellMar>
        </w:tblPrEx>
        <w:trPr>
          <w:trHeight w:val="30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中国经典名画赏析</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27</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刘超</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3</w:t>
            </w:r>
          </w:p>
        </w:tc>
      </w:tr>
      <w:tr>
        <w:tblPrEx>
          <w:tblLayout w:type="fixed"/>
          <w:tblCellMar>
            <w:top w:w="0" w:type="dxa"/>
            <w:left w:w="108" w:type="dxa"/>
            <w:bottom w:w="0" w:type="dxa"/>
            <w:right w:w="108" w:type="dxa"/>
          </w:tblCellMar>
        </w:tblPrEx>
        <w:trPr>
          <w:trHeight w:val="30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中外名曲欣赏</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54</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王艺桦</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6</w:t>
            </w:r>
          </w:p>
        </w:tc>
      </w:tr>
      <w:tr>
        <w:tblPrEx>
          <w:tblLayout w:type="fixed"/>
          <w:tblCellMar>
            <w:top w:w="0" w:type="dxa"/>
            <w:left w:w="108" w:type="dxa"/>
            <w:bottom w:w="0" w:type="dxa"/>
            <w:right w:w="108" w:type="dxa"/>
          </w:tblCellMar>
        </w:tblPrEx>
        <w:trPr>
          <w:trHeight w:val="425"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中西方文化比较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55</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谈晓旻</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8</w:t>
            </w:r>
          </w:p>
        </w:tc>
      </w:tr>
      <w:tr>
        <w:tblPrEx>
          <w:tblLayout w:type="fixed"/>
          <w:tblCellMar>
            <w:top w:w="0" w:type="dxa"/>
            <w:left w:w="108" w:type="dxa"/>
            <w:bottom w:w="0" w:type="dxa"/>
            <w:right w:w="108" w:type="dxa"/>
          </w:tblCellMar>
        </w:tblPrEx>
        <w:trPr>
          <w:trHeight w:val="30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中学趣味物理</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49</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谢立群</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8</w:t>
            </w:r>
          </w:p>
        </w:tc>
      </w:tr>
      <w:tr>
        <w:tblPrEx>
          <w:tblLayout w:type="fixed"/>
          <w:tblCellMar>
            <w:top w:w="0" w:type="dxa"/>
            <w:left w:w="108" w:type="dxa"/>
            <w:bottom w:w="0" w:type="dxa"/>
            <w:right w:w="108" w:type="dxa"/>
          </w:tblCellMar>
        </w:tblPrEx>
        <w:trPr>
          <w:trHeight w:val="30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走近装饰画</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58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秦</w:t>
            </w:r>
            <w:r>
              <w:rPr>
                <w:color w:val="000000"/>
                <w:kern w:val="0"/>
                <w:szCs w:val="21"/>
              </w:rPr>
              <w:t xml:space="preserve">  </w:t>
            </w:r>
            <w:r>
              <w:rPr>
                <w:rFonts w:hint="eastAsia" w:ascii="宋体" w:hAnsi="宋体" w:cs="宋体"/>
                <w:color w:val="000000"/>
                <w:kern w:val="0"/>
                <w:szCs w:val="21"/>
              </w:rPr>
              <w:t>旻</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6</w:t>
            </w:r>
          </w:p>
        </w:tc>
      </w:tr>
      <w:tr>
        <w:tblPrEx>
          <w:tblLayout w:type="fixed"/>
          <w:tblCellMar>
            <w:top w:w="0" w:type="dxa"/>
            <w:left w:w="108" w:type="dxa"/>
            <w:bottom w:w="0" w:type="dxa"/>
            <w:right w:w="108" w:type="dxa"/>
          </w:tblCellMar>
        </w:tblPrEx>
        <w:trPr>
          <w:trHeight w:val="270" w:hRule="atLeast"/>
          <w:jc w:val="center"/>
        </w:trPr>
        <w:tc>
          <w:tcPr>
            <w:tcW w:w="99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2016-</w:t>
            </w:r>
          </w:p>
          <w:p>
            <w:pPr>
              <w:widowControl/>
              <w:jc w:val="center"/>
              <w:rPr>
                <w:rFonts w:ascii="宋体" w:hAnsi="宋体" w:cs="宋体"/>
                <w:color w:val="000000"/>
                <w:kern w:val="0"/>
                <w:szCs w:val="21"/>
              </w:rPr>
            </w:pPr>
            <w:r>
              <w:rPr>
                <w:rFonts w:hint="eastAsia" w:ascii="宋体" w:hAnsi="宋体" w:cs="宋体"/>
                <w:color w:val="000000"/>
                <w:kern w:val="0"/>
                <w:szCs w:val="21"/>
              </w:rPr>
              <w:t>2017</w:t>
            </w:r>
          </w:p>
        </w:tc>
        <w:tc>
          <w:tcPr>
            <w:tcW w:w="2409" w:type="dxa"/>
            <w:tcBorders>
              <w:top w:val="nil"/>
              <w:left w:val="nil"/>
              <w:bottom w:val="single" w:color="auto" w:sz="4" w:space="0"/>
              <w:right w:val="nil"/>
            </w:tcBorders>
            <w:vAlign w:val="center"/>
          </w:tcPr>
          <w:p>
            <w:pPr>
              <w:widowControl/>
              <w:jc w:val="left"/>
              <w:rPr>
                <w:rFonts w:ascii="宋体" w:hAnsi="宋体" w:cs="宋体"/>
                <w:kern w:val="0"/>
                <w:szCs w:val="21"/>
              </w:rPr>
            </w:pPr>
            <w:r>
              <w:rPr>
                <w:rFonts w:hint="eastAsia" w:ascii="宋体" w:hAnsi="宋体" w:cs="宋体"/>
                <w:kern w:val="0"/>
                <w:szCs w:val="21"/>
              </w:rPr>
              <w:t>现代生活与物理</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胡春燕</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nil"/>
            </w:tcBorders>
            <w:vAlign w:val="bottom"/>
          </w:tcPr>
          <w:p>
            <w:pPr>
              <w:widowControl/>
              <w:jc w:val="left"/>
              <w:rPr>
                <w:rFonts w:ascii="宋体" w:hAnsi="宋体" w:cs="宋体"/>
                <w:kern w:val="0"/>
                <w:szCs w:val="21"/>
              </w:rPr>
            </w:pPr>
            <w:r>
              <w:rPr>
                <w:rFonts w:hint="eastAsia" w:ascii="宋体" w:hAnsi="宋体" w:cs="宋体"/>
                <w:kern w:val="0"/>
                <w:szCs w:val="21"/>
              </w:rPr>
              <w:t>中学趣味物理</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56</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吴伟庆</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nil"/>
            </w:tcBorders>
            <w:vAlign w:val="center"/>
          </w:tcPr>
          <w:p>
            <w:pPr>
              <w:widowControl/>
              <w:jc w:val="left"/>
              <w:rPr>
                <w:rFonts w:ascii="宋体" w:hAnsi="宋体" w:cs="宋体"/>
                <w:kern w:val="0"/>
                <w:szCs w:val="21"/>
              </w:rPr>
            </w:pPr>
            <w:r>
              <w:rPr>
                <w:rFonts w:hint="eastAsia" w:ascii="宋体" w:hAnsi="宋体" w:cs="宋体"/>
                <w:kern w:val="0"/>
                <w:szCs w:val="21"/>
              </w:rPr>
              <w:t>中国传统节日</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黄亚红</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nil"/>
            </w:tcBorders>
            <w:vAlign w:val="bottom"/>
          </w:tcPr>
          <w:p>
            <w:pPr>
              <w:widowControl/>
              <w:jc w:val="left"/>
              <w:rPr>
                <w:rFonts w:ascii="宋体" w:hAnsi="宋体" w:cs="宋体"/>
                <w:color w:val="000000"/>
                <w:kern w:val="0"/>
                <w:szCs w:val="21"/>
              </w:rPr>
            </w:pPr>
            <w:r>
              <w:rPr>
                <w:rFonts w:hint="eastAsia" w:ascii="宋体" w:hAnsi="宋体" w:cs="宋体"/>
                <w:color w:val="000000"/>
                <w:kern w:val="0"/>
                <w:szCs w:val="21"/>
              </w:rPr>
              <w:t>中国经典名画赏析</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吴燕</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nil"/>
            </w:tcBorders>
            <w:vAlign w:val="center"/>
          </w:tcPr>
          <w:p>
            <w:pPr>
              <w:widowControl/>
              <w:jc w:val="left"/>
              <w:rPr>
                <w:rFonts w:ascii="宋体" w:hAnsi="宋体" w:cs="宋体"/>
                <w:kern w:val="0"/>
                <w:szCs w:val="21"/>
              </w:rPr>
            </w:pPr>
            <w:r>
              <w:rPr>
                <w:rFonts w:hint="eastAsia" w:ascii="宋体" w:hAnsi="宋体" w:cs="宋体"/>
                <w:kern w:val="0"/>
                <w:szCs w:val="21"/>
              </w:rPr>
              <w:t>走进中国画</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52</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张桔</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英文电影经典台词</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许虹</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走近装饰画</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沈红</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nil"/>
            </w:tcBorders>
            <w:vAlign w:val="center"/>
          </w:tcPr>
          <w:p>
            <w:pPr>
              <w:widowControl/>
              <w:jc w:val="left"/>
              <w:rPr>
                <w:rFonts w:ascii="宋体" w:hAnsi="宋体" w:cs="宋体"/>
                <w:kern w:val="0"/>
                <w:szCs w:val="21"/>
              </w:rPr>
            </w:pPr>
            <w:r>
              <w:rPr>
                <w:rFonts w:hint="eastAsia" w:ascii="宋体" w:hAnsi="宋体" w:cs="宋体"/>
                <w:kern w:val="0"/>
                <w:szCs w:val="21"/>
              </w:rPr>
              <w:t>化学与健康</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张娟</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nil"/>
            </w:tcBorders>
            <w:vAlign w:val="center"/>
          </w:tcPr>
          <w:p>
            <w:pPr>
              <w:widowControl/>
              <w:jc w:val="left"/>
              <w:rPr>
                <w:rFonts w:ascii="宋体" w:hAnsi="宋体" w:cs="宋体"/>
                <w:kern w:val="0"/>
                <w:szCs w:val="21"/>
              </w:rPr>
            </w:pPr>
            <w:r>
              <w:rPr>
                <w:rFonts w:hint="eastAsia" w:ascii="宋体" w:hAnsi="宋体" w:cs="宋体"/>
                <w:kern w:val="0"/>
                <w:szCs w:val="21"/>
              </w:rPr>
              <w:t>化学与环境</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顾涛</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nil"/>
            </w:tcBorders>
            <w:vAlign w:val="center"/>
          </w:tcPr>
          <w:p>
            <w:pPr>
              <w:widowControl/>
              <w:jc w:val="left"/>
              <w:rPr>
                <w:rFonts w:ascii="宋体" w:hAnsi="宋体" w:cs="宋体"/>
                <w:kern w:val="0"/>
                <w:szCs w:val="21"/>
              </w:rPr>
            </w:pPr>
            <w:r>
              <w:rPr>
                <w:rFonts w:hint="eastAsia" w:ascii="宋体" w:hAnsi="宋体" w:cs="宋体"/>
                <w:kern w:val="0"/>
                <w:szCs w:val="21"/>
              </w:rPr>
              <w:t>化学与材料</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57</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樊耀平</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nil"/>
            </w:tcBorders>
            <w:vAlign w:val="center"/>
          </w:tcPr>
          <w:p>
            <w:pPr>
              <w:widowControl/>
              <w:jc w:val="left"/>
              <w:rPr>
                <w:rFonts w:ascii="宋体" w:hAnsi="宋体" w:cs="宋体"/>
                <w:kern w:val="0"/>
                <w:szCs w:val="21"/>
              </w:rPr>
            </w:pPr>
            <w:r>
              <w:rPr>
                <w:rFonts w:hint="eastAsia" w:ascii="宋体" w:hAnsi="宋体" w:cs="宋体"/>
                <w:kern w:val="0"/>
                <w:szCs w:val="21"/>
              </w:rPr>
              <w:t>漫谈化学元素</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王坚</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nil"/>
            </w:tcBorders>
            <w:vAlign w:val="center"/>
          </w:tcPr>
          <w:p>
            <w:pPr>
              <w:widowControl/>
              <w:jc w:val="left"/>
              <w:rPr>
                <w:rFonts w:ascii="宋体" w:hAnsi="宋体" w:cs="宋体"/>
                <w:kern w:val="0"/>
                <w:szCs w:val="21"/>
              </w:rPr>
            </w:pPr>
            <w:r>
              <w:rPr>
                <w:rFonts w:hint="eastAsia" w:ascii="宋体" w:hAnsi="宋体" w:cs="宋体"/>
                <w:kern w:val="0"/>
                <w:szCs w:val="21"/>
              </w:rPr>
              <w:t>动植物标本采集及制作</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62</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俞秋锦</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nil"/>
            </w:tcBorders>
            <w:vAlign w:val="center"/>
          </w:tcPr>
          <w:p>
            <w:pPr>
              <w:widowControl/>
              <w:jc w:val="left"/>
              <w:rPr>
                <w:rFonts w:ascii="宋体" w:hAnsi="宋体" w:cs="宋体"/>
                <w:kern w:val="0"/>
                <w:szCs w:val="21"/>
              </w:rPr>
            </w:pPr>
            <w:r>
              <w:rPr>
                <w:rFonts w:hint="eastAsia" w:ascii="宋体" w:hAnsi="宋体" w:cs="宋体"/>
                <w:kern w:val="0"/>
                <w:szCs w:val="21"/>
              </w:rPr>
              <w:t>生活中的生物</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61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韩丽</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r>
      <w:tr>
        <w:tblPrEx>
          <w:tblLayout w:type="fixed"/>
          <w:tblCellMar>
            <w:top w:w="0" w:type="dxa"/>
            <w:left w:w="108" w:type="dxa"/>
            <w:bottom w:w="0" w:type="dxa"/>
            <w:right w:w="108" w:type="dxa"/>
          </w:tblCellMar>
        </w:tblPrEx>
        <w:trPr>
          <w:trHeight w:val="54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nil"/>
            </w:tcBorders>
            <w:vAlign w:val="center"/>
          </w:tcPr>
          <w:p>
            <w:pPr>
              <w:widowControl/>
              <w:jc w:val="left"/>
              <w:rPr>
                <w:rFonts w:ascii="宋体" w:hAnsi="宋体" w:cs="宋体"/>
                <w:kern w:val="0"/>
                <w:szCs w:val="21"/>
              </w:rPr>
            </w:pPr>
            <w:r>
              <w:rPr>
                <w:rFonts w:hint="eastAsia" w:ascii="宋体" w:hAnsi="宋体" w:cs="宋体"/>
                <w:kern w:val="0"/>
                <w:szCs w:val="21"/>
              </w:rPr>
              <w:t xml:space="preserve">中西方文化比较 </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59</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许光英</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nil"/>
            </w:tcBorders>
            <w:vAlign w:val="bottom"/>
          </w:tcPr>
          <w:p>
            <w:pPr>
              <w:widowControl/>
              <w:jc w:val="left"/>
              <w:rPr>
                <w:rFonts w:ascii="宋体" w:hAnsi="宋体" w:cs="宋体"/>
                <w:color w:val="000000"/>
                <w:kern w:val="0"/>
                <w:szCs w:val="21"/>
              </w:rPr>
            </w:pPr>
            <w:r>
              <w:rPr>
                <w:rFonts w:hint="eastAsia" w:ascii="宋体" w:hAnsi="宋体" w:cs="宋体"/>
                <w:color w:val="000000"/>
                <w:kern w:val="0"/>
                <w:szCs w:val="21"/>
              </w:rPr>
              <w:t>食物的营养与人体健康</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54</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周源泉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艺术与人生</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高一</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435</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秦旻</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Layout w:type="fixed"/>
          <w:tblCellMar>
            <w:top w:w="0" w:type="dxa"/>
            <w:left w:w="108" w:type="dxa"/>
            <w:bottom w:w="0" w:type="dxa"/>
            <w:right w:w="108" w:type="dxa"/>
          </w:tblCellMar>
        </w:tblPrEx>
        <w:trPr>
          <w:trHeight w:val="54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激励成长，发展生命——高三励志教育</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高三</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409</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班主任等</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Flash 入门与进阶</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郭劲华</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变废为宝DIY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谈燕华</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大众文化与文学</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冯凯</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卡通艺术(手绘)</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52</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严桃梨</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漫谈化学元素</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王坚</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趣味新语文</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岳敏锋</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生活中的生物</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韩丽</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数学和生活</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姜卫坚</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数学文化</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徐莉芬</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西方经典名画赏析</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刘新茹</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循序渐进.英语写作</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杨小波</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英文电影经典台词</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张建芬</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中外名曲欣赏</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王艺桦</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Layout w:type="fixed"/>
          <w:tblCellMar>
            <w:top w:w="0" w:type="dxa"/>
            <w:left w:w="108" w:type="dxa"/>
            <w:bottom w:w="0" w:type="dxa"/>
            <w:right w:w="108" w:type="dxa"/>
          </w:tblCellMar>
        </w:tblPrEx>
        <w:trPr>
          <w:trHeight w:val="54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中西方文化比较</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徐莹</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走进中国画</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张桔</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礼仪与生活</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徐莹</w:t>
            </w:r>
          </w:p>
          <w:p>
            <w:pPr>
              <w:widowControl/>
              <w:jc w:val="center"/>
              <w:rPr>
                <w:rFonts w:ascii="宋体" w:hAnsi="宋体" w:cs="宋体"/>
                <w:color w:val="000000"/>
                <w:kern w:val="0"/>
                <w:szCs w:val="21"/>
              </w:rPr>
            </w:pPr>
            <w:r>
              <w:rPr>
                <w:rFonts w:hint="eastAsia" w:ascii="宋体" w:hAnsi="宋体" w:cs="宋体"/>
                <w:color w:val="000000"/>
                <w:kern w:val="0"/>
                <w:szCs w:val="21"/>
              </w:rPr>
              <w:t>李佳英</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Layout w:type="fixed"/>
          <w:tblCellMar>
            <w:top w:w="0" w:type="dxa"/>
            <w:left w:w="108" w:type="dxa"/>
            <w:bottom w:w="0" w:type="dxa"/>
            <w:right w:w="108" w:type="dxa"/>
          </w:tblCellMar>
        </w:tblPrEx>
        <w:trPr>
          <w:trHeight w:val="270" w:hRule="atLeast"/>
          <w:jc w:val="center"/>
        </w:trPr>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vAlign w:val="center"/>
          </w:tcPr>
          <w:p>
            <w:pPr>
              <w:widowControl/>
              <w:jc w:val="left"/>
              <w:rPr>
                <w:rFonts w:ascii="宋体" w:hAnsi="宋体" w:cs="宋体"/>
                <w:iCs/>
                <w:kern w:val="0"/>
                <w:szCs w:val="21"/>
              </w:rPr>
            </w:pPr>
            <w:r>
              <w:rPr>
                <w:rFonts w:hint="eastAsia" w:ascii="宋体" w:hAnsi="宋体" w:cs="宋体"/>
                <w:iCs/>
                <w:kern w:val="0"/>
                <w:szCs w:val="21"/>
              </w:rPr>
              <w:t>生命成长之人生规划</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高二</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159</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孟震宇</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r>
    </w:tbl>
    <w:p/>
    <w:p>
      <w:pPr>
        <w:spacing w:line="560" w:lineRule="exact"/>
        <w:ind w:right="560"/>
        <w:rPr>
          <w:rFonts w:ascii="宋体"/>
          <w:b/>
          <w:bCs/>
          <w:sz w:val="28"/>
          <w:szCs w:val="28"/>
        </w:rPr>
      </w:pPr>
    </w:p>
    <w:p>
      <w:pPr>
        <w:spacing w:line="560" w:lineRule="exact"/>
        <w:ind w:right="560"/>
        <w:rPr>
          <w:rFonts w:ascii="宋体"/>
          <w:b/>
          <w:bCs/>
          <w:sz w:val="28"/>
          <w:szCs w:val="28"/>
        </w:rPr>
      </w:pPr>
      <w:r>
        <w:rPr>
          <w:rFonts w:hint="eastAsia" w:ascii="宋体"/>
          <w:b/>
          <w:bCs/>
          <w:sz w:val="28"/>
          <w:szCs w:val="28"/>
        </w:rPr>
        <w:t>14.教科研工作情况表</w:t>
      </w:r>
    </w:p>
    <w:tbl>
      <w:tblPr>
        <w:tblStyle w:val="14"/>
        <w:tblW w:w="9599" w:type="dxa"/>
        <w:jc w:val="center"/>
        <w:tblInd w:w="0" w:type="dxa"/>
        <w:tblLayout w:type="fixed"/>
        <w:tblCellMar>
          <w:top w:w="0" w:type="dxa"/>
          <w:left w:w="108" w:type="dxa"/>
          <w:bottom w:w="0" w:type="dxa"/>
          <w:right w:w="108" w:type="dxa"/>
        </w:tblCellMar>
      </w:tblPr>
      <w:tblGrid>
        <w:gridCol w:w="1113"/>
        <w:gridCol w:w="908"/>
        <w:gridCol w:w="1509"/>
        <w:gridCol w:w="276"/>
        <w:gridCol w:w="1276"/>
        <w:gridCol w:w="281"/>
        <w:gridCol w:w="709"/>
        <w:gridCol w:w="961"/>
        <w:gridCol w:w="33"/>
        <w:gridCol w:w="974"/>
        <w:gridCol w:w="1559"/>
      </w:tblGrid>
      <w:tr>
        <w:tblPrEx>
          <w:tblLayout w:type="fixed"/>
          <w:tblCellMar>
            <w:top w:w="0" w:type="dxa"/>
            <w:left w:w="108" w:type="dxa"/>
            <w:bottom w:w="0" w:type="dxa"/>
            <w:right w:w="108" w:type="dxa"/>
          </w:tblCellMar>
        </w:tblPrEx>
        <w:trPr>
          <w:jc w:val="center"/>
        </w:trPr>
        <w:tc>
          <w:tcPr>
            <w:tcW w:w="9599"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近五年课题研究情况</w:t>
            </w:r>
          </w:p>
        </w:tc>
      </w:tr>
      <w:tr>
        <w:tblPrEx>
          <w:tblLayout w:type="fixed"/>
          <w:tblCellMar>
            <w:top w:w="0" w:type="dxa"/>
            <w:left w:w="108" w:type="dxa"/>
            <w:bottom w:w="0" w:type="dxa"/>
            <w:right w:w="108" w:type="dxa"/>
          </w:tblCellMar>
        </w:tblPrEx>
        <w:trPr>
          <w:jc w:val="center"/>
        </w:trPr>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起讫时间</w:t>
            </w:r>
          </w:p>
        </w:tc>
        <w:tc>
          <w:tcPr>
            <w:tcW w:w="2693" w:type="dxa"/>
            <w:gridSpan w:val="3"/>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课题名称</w:t>
            </w:r>
          </w:p>
        </w:tc>
        <w:tc>
          <w:tcPr>
            <w:tcW w:w="1276" w:type="dxa"/>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审批</w:t>
            </w:r>
          </w:p>
          <w:p>
            <w:pPr>
              <w:adjustRightInd w:val="0"/>
              <w:snapToGrid w:val="0"/>
              <w:spacing w:line="240" w:lineRule="atLeast"/>
              <w:jc w:val="center"/>
              <w:rPr>
                <w:rFonts w:ascii="宋体" w:hAnsi="宋体"/>
                <w:szCs w:val="21"/>
              </w:rPr>
            </w:pPr>
            <w:r>
              <w:rPr>
                <w:rFonts w:hint="eastAsia" w:ascii="宋体" w:hAnsi="宋体"/>
                <w:szCs w:val="21"/>
              </w:rPr>
              <w:t>部门</w:t>
            </w:r>
          </w:p>
        </w:tc>
        <w:tc>
          <w:tcPr>
            <w:tcW w:w="990" w:type="dxa"/>
            <w:gridSpan w:val="2"/>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课题</w:t>
            </w:r>
          </w:p>
          <w:p>
            <w:pPr>
              <w:adjustRightInd w:val="0"/>
              <w:snapToGrid w:val="0"/>
              <w:spacing w:line="240" w:lineRule="atLeast"/>
              <w:jc w:val="center"/>
              <w:rPr>
                <w:rFonts w:ascii="宋体" w:hAnsi="宋体"/>
                <w:szCs w:val="21"/>
              </w:rPr>
            </w:pPr>
            <w:r>
              <w:rPr>
                <w:rFonts w:hint="eastAsia" w:ascii="宋体" w:hAnsi="宋体"/>
                <w:szCs w:val="21"/>
              </w:rPr>
              <w:t>级别</w:t>
            </w:r>
          </w:p>
        </w:tc>
        <w:tc>
          <w:tcPr>
            <w:tcW w:w="994"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课题组成员数</w:t>
            </w:r>
          </w:p>
        </w:tc>
        <w:tc>
          <w:tcPr>
            <w:tcW w:w="974"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课题组</w:t>
            </w:r>
          </w:p>
          <w:p>
            <w:pPr>
              <w:adjustRightInd w:val="0"/>
              <w:snapToGrid w:val="0"/>
              <w:spacing w:line="240" w:lineRule="atLeast"/>
              <w:jc w:val="center"/>
              <w:rPr>
                <w:rFonts w:ascii="宋体" w:hAnsi="宋体"/>
                <w:szCs w:val="21"/>
              </w:rPr>
            </w:pPr>
            <w:r>
              <w:rPr>
                <w:rFonts w:hint="eastAsia" w:ascii="宋体" w:hAnsi="宋体"/>
                <w:szCs w:val="21"/>
              </w:rPr>
              <w:t>负责人</w:t>
            </w: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鉴定</w:t>
            </w:r>
          </w:p>
          <w:p>
            <w:pPr>
              <w:adjustRightInd w:val="0"/>
              <w:snapToGrid w:val="0"/>
              <w:spacing w:line="240" w:lineRule="atLeast"/>
              <w:jc w:val="center"/>
              <w:rPr>
                <w:rFonts w:ascii="宋体" w:hAnsi="宋体"/>
                <w:szCs w:val="21"/>
              </w:rPr>
            </w:pPr>
            <w:r>
              <w:rPr>
                <w:rFonts w:hint="eastAsia" w:ascii="宋体" w:hAnsi="宋体"/>
                <w:szCs w:val="21"/>
              </w:rPr>
              <w:t>时间</w:t>
            </w:r>
          </w:p>
        </w:tc>
      </w:tr>
      <w:tr>
        <w:tblPrEx>
          <w:tblLayout w:type="fixed"/>
          <w:tblCellMar>
            <w:top w:w="0" w:type="dxa"/>
            <w:left w:w="108" w:type="dxa"/>
            <w:bottom w:w="0" w:type="dxa"/>
            <w:right w:w="108" w:type="dxa"/>
          </w:tblCellMar>
        </w:tblPrEx>
        <w:trPr>
          <w:jc w:val="center"/>
        </w:trPr>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2013.10-2017.12</w:t>
            </w:r>
          </w:p>
        </w:tc>
        <w:tc>
          <w:tcPr>
            <w:tcW w:w="269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学校艺术教育三维课程开发的案例研究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省规划办</w:t>
            </w:r>
          </w:p>
        </w:tc>
        <w:tc>
          <w:tcPr>
            <w:tcW w:w="990"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省规划课题</w:t>
            </w:r>
          </w:p>
        </w:tc>
        <w:tc>
          <w:tcPr>
            <w:tcW w:w="99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52</w:t>
            </w:r>
          </w:p>
        </w:tc>
        <w:tc>
          <w:tcPr>
            <w:tcW w:w="97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沈纯芳</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2013</w:t>
            </w:r>
            <w:r>
              <w:rPr>
                <w:rFonts w:hint="eastAsia" w:ascii="宋体" w:hAnsi="宋体"/>
                <w:szCs w:val="21"/>
              </w:rPr>
              <w:t>年</w:t>
            </w:r>
            <w:r>
              <w:rPr>
                <w:rFonts w:hint="eastAsia"/>
                <w:szCs w:val="21"/>
              </w:rPr>
              <w:t>10</w:t>
            </w:r>
            <w:r>
              <w:rPr>
                <w:rFonts w:hint="eastAsia" w:ascii="宋体" w:hAnsi="宋体"/>
                <w:szCs w:val="21"/>
              </w:rPr>
              <w:t>月</w:t>
            </w:r>
          </w:p>
        </w:tc>
      </w:tr>
      <w:tr>
        <w:tblPrEx>
          <w:tblLayout w:type="fixed"/>
          <w:tblCellMar>
            <w:top w:w="0" w:type="dxa"/>
            <w:left w:w="108" w:type="dxa"/>
            <w:bottom w:w="0" w:type="dxa"/>
            <w:right w:w="108" w:type="dxa"/>
          </w:tblCellMar>
        </w:tblPrEx>
        <w:trPr>
          <w:jc w:val="center"/>
        </w:trPr>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2015.12-2018.12</w:t>
            </w:r>
          </w:p>
        </w:tc>
        <w:tc>
          <w:tcPr>
            <w:tcW w:w="269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基于学科素养培养的史料教学优化研究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省教研室</w:t>
            </w:r>
          </w:p>
        </w:tc>
        <w:tc>
          <w:tcPr>
            <w:tcW w:w="990"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省教研课题</w:t>
            </w:r>
          </w:p>
        </w:tc>
        <w:tc>
          <w:tcPr>
            <w:tcW w:w="99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19</w:t>
            </w:r>
          </w:p>
        </w:tc>
        <w:tc>
          <w:tcPr>
            <w:tcW w:w="97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贲新文 沈纯芳</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2015</w:t>
            </w:r>
            <w:r>
              <w:rPr>
                <w:rFonts w:hint="eastAsia" w:ascii="宋体" w:hAnsi="宋体"/>
                <w:szCs w:val="21"/>
              </w:rPr>
              <w:t>年</w:t>
            </w:r>
            <w:r>
              <w:rPr>
                <w:rFonts w:hint="eastAsia"/>
                <w:szCs w:val="21"/>
              </w:rPr>
              <w:t>12</w:t>
            </w:r>
            <w:r>
              <w:rPr>
                <w:rFonts w:hint="eastAsia" w:ascii="宋体" w:hAnsi="宋体"/>
                <w:szCs w:val="21"/>
              </w:rPr>
              <w:t>月</w:t>
            </w:r>
          </w:p>
        </w:tc>
      </w:tr>
      <w:tr>
        <w:tblPrEx>
          <w:tblLayout w:type="fixed"/>
          <w:tblCellMar>
            <w:top w:w="0" w:type="dxa"/>
            <w:left w:w="108" w:type="dxa"/>
            <w:bottom w:w="0" w:type="dxa"/>
            <w:right w:w="108" w:type="dxa"/>
          </w:tblCellMar>
        </w:tblPrEx>
        <w:trPr>
          <w:jc w:val="center"/>
        </w:trPr>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2016.03-2019.03</w:t>
            </w:r>
          </w:p>
        </w:tc>
        <w:tc>
          <w:tcPr>
            <w:tcW w:w="269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现代教育技术下，基于课堂实录的高中语文“常态课”质量提升研究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省教科院现代教育技术研究所</w:t>
            </w:r>
          </w:p>
        </w:tc>
        <w:tc>
          <w:tcPr>
            <w:tcW w:w="990"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省级课题</w:t>
            </w:r>
          </w:p>
        </w:tc>
        <w:tc>
          <w:tcPr>
            <w:tcW w:w="99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16</w:t>
            </w:r>
          </w:p>
        </w:tc>
        <w:tc>
          <w:tcPr>
            <w:tcW w:w="974"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 xml:space="preserve">赵洁 </w:t>
            </w:r>
          </w:p>
          <w:p>
            <w:pPr>
              <w:jc w:val="center"/>
              <w:rPr>
                <w:rFonts w:ascii="宋体" w:hAnsi="宋体"/>
                <w:szCs w:val="21"/>
              </w:rPr>
            </w:pPr>
            <w:r>
              <w:rPr>
                <w:rFonts w:hint="eastAsia"/>
                <w:szCs w:val="21"/>
              </w:rPr>
              <w:t>王超</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2016</w:t>
            </w:r>
            <w:r>
              <w:rPr>
                <w:rFonts w:hint="eastAsia" w:ascii="宋体" w:hAnsi="宋体"/>
                <w:szCs w:val="21"/>
              </w:rPr>
              <w:t>年</w:t>
            </w:r>
            <w:r>
              <w:rPr>
                <w:rFonts w:hint="eastAsia"/>
                <w:szCs w:val="21"/>
              </w:rPr>
              <w:t>3</w:t>
            </w:r>
            <w:r>
              <w:rPr>
                <w:rFonts w:hint="eastAsia" w:ascii="宋体" w:hAnsi="宋体"/>
                <w:szCs w:val="21"/>
              </w:rPr>
              <w:t>月</w:t>
            </w:r>
          </w:p>
        </w:tc>
      </w:tr>
      <w:tr>
        <w:tblPrEx>
          <w:tblLayout w:type="fixed"/>
          <w:tblCellMar>
            <w:top w:w="0" w:type="dxa"/>
            <w:left w:w="108" w:type="dxa"/>
            <w:bottom w:w="0" w:type="dxa"/>
            <w:right w:w="108" w:type="dxa"/>
          </w:tblCellMar>
        </w:tblPrEx>
        <w:trPr>
          <w:jc w:val="center"/>
        </w:trPr>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2013.10-2016.10</w:t>
            </w:r>
          </w:p>
        </w:tc>
        <w:tc>
          <w:tcPr>
            <w:tcW w:w="269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利用学校艺术教育平台发展学生健全人格的研究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市教科院</w:t>
            </w:r>
          </w:p>
        </w:tc>
        <w:tc>
          <w:tcPr>
            <w:tcW w:w="990"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市级</w:t>
            </w:r>
          </w:p>
        </w:tc>
        <w:tc>
          <w:tcPr>
            <w:tcW w:w="99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23</w:t>
            </w:r>
          </w:p>
        </w:tc>
        <w:tc>
          <w:tcPr>
            <w:tcW w:w="97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陈擎</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2013</w:t>
            </w:r>
            <w:r>
              <w:rPr>
                <w:rFonts w:hint="eastAsia" w:ascii="宋体" w:hAnsi="宋体"/>
                <w:szCs w:val="21"/>
              </w:rPr>
              <w:t>年</w:t>
            </w:r>
            <w:r>
              <w:rPr>
                <w:rFonts w:hint="eastAsia"/>
                <w:szCs w:val="21"/>
              </w:rPr>
              <w:t>10</w:t>
            </w:r>
            <w:r>
              <w:rPr>
                <w:rFonts w:hint="eastAsia" w:ascii="宋体" w:hAnsi="宋体"/>
                <w:szCs w:val="21"/>
              </w:rPr>
              <w:t>月</w:t>
            </w:r>
          </w:p>
        </w:tc>
      </w:tr>
      <w:tr>
        <w:tblPrEx>
          <w:tblLayout w:type="fixed"/>
          <w:tblCellMar>
            <w:top w:w="0" w:type="dxa"/>
            <w:left w:w="108" w:type="dxa"/>
            <w:bottom w:w="0" w:type="dxa"/>
            <w:right w:w="108" w:type="dxa"/>
          </w:tblCellMar>
        </w:tblPrEx>
        <w:trPr>
          <w:jc w:val="center"/>
        </w:trPr>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2016.05-2019.05</w:t>
            </w:r>
          </w:p>
        </w:tc>
        <w:tc>
          <w:tcPr>
            <w:tcW w:w="269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本校学生英语词汇学习主要困难及解决策略的研究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市教科院</w:t>
            </w:r>
          </w:p>
        </w:tc>
        <w:tc>
          <w:tcPr>
            <w:tcW w:w="990"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市级备案课题</w:t>
            </w:r>
          </w:p>
        </w:tc>
        <w:tc>
          <w:tcPr>
            <w:tcW w:w="99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w:t>
            </w:r>
          </w:p>
        </w:tc>
        <w:tc>
          <w:tcPr>
            <w:tcW w:w="97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施红艳 郭淑慧</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2016</w:t>
            </w:r>
            <w:r>
              <w:rPr>
                <w:rFonts w:hint="eastAsia" w:ascii="宋体" w:hAnsi="宋体"/>
                <w:szCs w:val="21"/>
              </w:rPr>
              <w:t>年</w:t>
            </w:r>
            <w:r>
              <w:rPr>
                <w:rFonts w:hint="eastAsia"/>
                <w:szCs w:val="21"/>
              </w:rPr>
              <w:t>5</w:t>
            </w:r>
            <w:r>
              <w:rPr>
                <w:rFonts w:hint="eastAsia" w:ascii="宋体" w:hAnsi="宋体"/>
                <w:szCs w:val="21"/>
              </w:rPr>
              <w:t>月</w:t>
            </w:r>
          </w:p>
        </w:tc>
      </w:tr>
      <w:tr>
        <w:tblPrEx>
          <w:tblLayout w:type="fixed"/>
          <w:tblCellMar>
            <w:top w:w="0" w:type="dxa"/>
            <w:left w:w="108" w:type="dxa"/>
            <w:bottom w:w="0" w:type="dxa"/>
            <w:right w:w="108" w:type="dxa"/>
          </w:tblCellMar>
        </w:tblPrEx>
        <w:trPr>
          <w:jc w:val="center"/>
        </w:trPr>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2016.05-2019.05</w:t>
            </w:r>
          </w:p>
        </w:tc>
        <w:tc>
          <w:tcPr>
            <w:tcW w:w="269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基于提高学生核心素养，构建语文阅读体系的研究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市教科院</w:t>
            </w:r>
          </w:p>
        </w:tc>
        <w:tc>
          <w:tcPr>
            <w:tcW w:w="990"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市级备案课题</w:t>
            </w:r>
          </w:p>
        </w:tc>
        <w:tc>
          <w:tcPr>
            <w:tcW w:w="99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16</w:t>
            </w:r>
          </w:p>
        </w:tc>
        <w:tc>
          <w:tcPr>
            <w:tcW w:w="97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 xml:space="preserve">赵洁 </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2016</w:t>
            </w:r>
            <w:r>
              <w:rPr>
                <w:rFonts w:hint="eastAsia" w:ascii="宋体" w:hAnsi="宋体"/>
                <w:szCs w:val="21"/>
              </w:rPr>
              <w:t>年</w:t>
            </w:r>
            <w:r>
              <w:rPr>
                <w:rFonts w:hint="eastAsia"/>
                <w:szCs w:val="21"/>
              </w:rPr>
              <w:t>5</w:t>
            </w:r>
            <w:r>
              <w:rPr>
                <w:rFonts w:hint="eastAsia" w:ascii="宋体" w:hAnsi="宋体"/>
                <w:szCs w:val="21"/>
              </w:rPr>
              <w:t>月</w:t>
            </w:r>
          </w:p>
        </w:tc>
      </w:tr>
      <w:tr>
        <w:tblPrEx>
          <w:tblLayout w:type="fixed"/>
          <w:tblCellMar>
            <w:top w:w="0" w:type="dxa"/>
            <w:left w:w="108" w:type="dxa"/>
            <w:bottom w:w="0" w:type="dxa"/>
            <w:right w:w="108" w:type="dxa"/>
          </w:tblCellMar>
        </w:tblPrEx>
        <w:trPr>
          <w:jc w:val="center"/>
        </w:trPr>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2014.05-2017.05</w:t>
            </w:r>
          </w:p>
        </w:tc>
        <w:tc>
          <w:tcPr>
            <w:tcW w:w="269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提高艺术特长班数学课堂效益的策略研究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区教研室</w:t>
            </w:r>
          </w:p>
        </w:tc>
        <w:tc>
          <w:tcPr>
            <w:tcW w:w="990"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区级</w:t>
            </w:r>
          </w:p>
        </w:tc>
        <w:tc>
          <w:tcPr>
            <w:tcW w:w="99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97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周奕</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2014</w:t>
            </w:r>
            <w:r>
              <w:rPr>
                <w:rFonts w:hint="eastAsia" w:ascii="宋体" w:hAnsi="宋体"/>
                <w:szCs w:val="21"/>
              </w:rPr>
              <w:t>年</w:t>
            </w:r>
            <w:r>
              <w:rPr>
                <w:rFonts w:hint="eastAsia"/>
                <w:szCs w:val="21"/>
              </w:rPr>
              <w:t>5</w:t>
            </w:r>
            <w:r>
              <w:rPr>
                <w:rFonts w:hint="eastAsia" w:ascii="宋体" w:hAnsi="宋体"/>
                <w:szCs w:val="21"/>
              </w:rPr>
              <w:t>月</w:t>
            </w:r>
          </w:p>
        </w:tc>
      </w:tr>
      <w:tr>
        <w:tblPrEx>
          <w:tblLayout w:type="fixed"/>
          <w:tblCellMar>
            <w:top w:w="0" w:type="dxa"/>
            <w:left w:w="108" w:type="dxa"/>
            <w:bottom w:w="0" w:type="dxa"/>
            <w:right w:w="108" w:type="dxa"/>
          </w:tblCellMar>
        </w:tblPrEx>
        <w:trPr>
          <w:jc w:val="center"/>
        </w:trPr>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2014.12-2017.12</w:t>
            </w:r>
          </w:p>
        </w:tc>
        <w:tc>
          <w:tcPr>
            <w:tcW w:w="269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 xml:space="preserve">基于学生实际提高艺术班数学教学实效的研究 </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区教研室</w:t>
            </w:r>
          </w:p>
        </w:tc>
        <w:tc>
          <w:tcPr>
            <w:tcW w:w="990"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区级</w:t>
            </w:r>
          </w:p>
        </w:tc>
        <w:tc>
          <w:tcPr>
            <w:tcW w:w="99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97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王宏亮</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2014</w:t>
            </w:r>
            <w:r>
              <w:rPr>
                <w:rFonts w:hint="eastAsia" w:ascii="宋体" w:hAnsi="宋体"/>
                <w:szCs w:val="21"/>
              </w:rPr>
              <w:t>年</w:t>
            </w:r>
            <w:r>
              <w:rPr>
                <w:rFonts w:hint="eastAsia"/>
                <w:szCs w:val="21"/>
              </w:rPr>
              <w:t>12</w:t>
            </w:r>
            <w:r>
              <w:rPr>
                <w:rFonts w:hint="eastAsia" w:ascii="宋体" w:hAnsi="宋体"/>
                <w:szCs w:val="21"/>
              </w:rPr>
              <w:t>月</w:t>
            </w:r>
          </w:p>
        </w:tc>
      </w:tr>
      <w:tr>
        <w:tblPrEx>
          <w:tblLayout w:type="fixed"/>
          <w:tblCellMar>
            <w:top w:w="0" w:type="dxa"/>
            <w:left w:w="108" w:type="dxa"/>
            <w:bottom w:w="0" w:type="dxa"/>
            <w:right w:w="108" w:type="dxa"/>
          </w:tblCellMar>
        </w:tblPrEx>
        <w:trPr>
          <w:jc w:val="center"/>
        </w:trPr>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2015.12-2018.12</w:t>
            </w:r>
          </w:p>
        </w:tc>
        <w:tc>
          <w:tcPr>
            <w:tcW w:w="269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模型建构方法在高中生物教学中的应用研究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区教研室</w:t>
            </w:r>
          </w:p>
        </w:tc>
        <w:tc>
          <w:tcPr>
            <w:tcW w:w="990"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区级</w:t>
            </w:r>
          </w:p>
        </w:tc>
        <w:tc>
          <w:tcPr>
            <w:tcW w:w="99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97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俞秋锦</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2015</w:t>
            </w:r>
            <w:r>
              <w:rPr>
                <w:rFonts w:hint="eastAsia" w:ascii="宋体" w:hAnsi="宋体"/>
                <w:szCs w:val="21"/>
              </w:rPr>
              <w:t>年</w:t>
            </w:r>
            <w:r>
              <w:rPr>
                <w:rFonts w:hint="eastAsia"/>
                <w:szCs w:val="21"/>
              </w:rPr>
              <w:t>12</w:t>
            </w:r>
            <w:r>
              <w:rPr>
                <w:rFonts w:hint="eastAsia" w:ascii="宋体" w:hAnsi="宋体"/>
                <w:szCs w:val="21"/>
              </w:rPr>
              <w:t>月</w:t>
            </w:r>
          </w:p>
        </w:tc>
      </w:tr>
      <w:tr>
        <w:tblPrEx>
          <w:tblLayout w:type="fixed"/>
          <w:tblCellMar>
            <w:top w:w="0" w:type="dxa"/>
            <w:left w:w="108" w:type="dxa"/>
            <w:bottom w:w="0" w:type="dxa"/>
            <w:right w:w="108" w:type="dxa"/>
          </w:tblCellMar>
        </w:tblPrEx>
        <w:trPr>
          <w:jc w:val="center"/>
        </w:trPr>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2015.12-2018.12</w:t>
            </w:r>
          </w:p>
        </w:tc>
        <w:tc>
          <w:tcPr>
            <w:tcW w:w="269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基于培养学生探究能力优化化学实验教学的研究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区教研室</w:t>
            </w:r>
          </w:p>
        </w:tc>
        <w:tc>
          <w:tcPr>
            <w:tcW w:w="990"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区级</w:t>
            </w:r>
          </w:p>
        </w:tc>
        <w:tc>
          <w:tcPr>
            <w:tcW w:w="99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974"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樊耀平</w:t>
            </w:r>
          </w:p>
          <w:p>
            <w:pPr>
              <w:jc w:val="center"/>
              <w:rPr>
                <w:rFonts w:ascii="宋体" w:hAnsi="宋体"/>
                <w:szCs w:val="21"/>
              </w:rPr>
            </w:pPr>
            <w:r>
              <w:rPr>
                <w:rFonts w:hint="eastAsia"/>
                <w:szCs w:val="21"/>
              </w:rPr>
              <w:t>张娟</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2015</w:t>
            </w:r>
            <w:r>
              <w:rPr>
                <w:rFonts w:hint="eastAsia" w:ascii="宋体" w:hAnsi="宋体"/>
                <w:szCs w:val="21"/>
              </w:rPr>
              <w:t>年</w:t>
            </w:r>
            <w:r>
              <w:rPr>
                <w:rFonts w:hint="eastAsia"/>
                <w:szCs w:val="21"/>
              </w:rPr>
              <w:t>12</w:t>
            </w:r>
            <w:r>
              <w:rPr>
                <w:rFonts w:hint="eastAsia" w:ascii="宋体" w:hAnsi="宋体"/>
                <w:szCs w:val="21"/>
              </w:rPr>
              <w:t>月</w:t>
            </w:r>
          </w:p>
        </w:tc>
      </w:tr>
      <w:tr>
        <w:tblPrEx>
          <w:tblLayout w:type="fixed"/>
          <w:tblCellMar>
            <w:top w:w="0" w:type="dxa"/>
            <w:left w:w="108" w:type="dxa"/>
            <w:bottom w:w="0" w:type="dxa"/>
            <w:right w:w="108" w:type="dxa"/>
          </w:tblCellMar>
        </w:tblPrEx>
        <w:trPr>
          <w:jc w:val="center"/>
        </w:trPr>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2017.03-2020.03</w:t>
            </w:r>
          </w:p>
        </w:tc>
        <w:tc>
          <w:tcPr>
            <w:tcW w:w="269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高中物理实施探究式教学的实践研究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区教师发展中心教科部</w:t>
            </w:r>
          </w:p>
        </w:tc>
        <w:tc>
          <w:tcPr>
            <w:tcW w:w="990"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区级</w:t>
            </w:r>
          </w:p>
        </w:tc>
        <w:tc>
          <w:tcPr>
            <w:tcW w:w="99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w:t>
            </w:r>
          </w:p>
        </w:tc>
        <w:tc>
          <w:tcPr>
            <w:tcW w:w="97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黄包罗 徐献鹤</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szCs w:val="21"/>
              </w:rPr>
              <w:t>2017</w:t>
            </w:r>
            <w:r>
              <w:rPr>
                <w:rFonts w:hint="eastAsia" w:ascii="宋体" w:hAnsi="宋体"/>
                <w:szCs w:val="21"/>
              </w:rPr>
              <w:t>年</w:t>
            </w:r>
            <w:r>
              <w:rPr>
                <w:rFonts w:hint="eastAsia"/>
                <w:szCs w:val="21"/>
              </w:rPr>
              <w:t>3</w:t>
            </w:r>
            <w:r>
              <w:rPr>
                <w:rFonts w:hint="eastAsia" w:ascii="宋体" w:hAnsi="宋体"/>
                <w:szCs w:val="21"/>
              </w:rPr>
              <w:t>月</w:t>
            </w:r>
          </w:p>
        </w:tc>
      </w:tr>
      <w:tr>
        <w:tblPrEx>
          <w:tblLayout w:type="fixed"/>
          <w:tblCellMar>
            <w:top w:w="0" w:type="dxa"/>
            <w:left w:w="108" w:type="dxa"/>
            <w:bottom w:w="0" w:type="dxa"/>
            <w:right w:w="108" w:type="dxa"/>
          </w:tblCellMar>
        </w:tblPrEx>
        <w:trPr>
          <w:jc w:val="center"/>
        </w:trPr>
        <w:tc>
          <w:tcPr>
            <w:tcW w:w="9599"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各学科教学探究情况</w:t>
            </w:r>
          </w:p>
        </w:tc>
      </w:tr>
      <w:tr>
        <w:tblPrEx>
          <w:tblLayout w:type="fixed"/>
          <w:tblCellMar>
            <w:top w:w="0" w:type="dxa"/>
            <w:left w:w="108" w:type="dxa"/>
            <w:bottom w:w="0" w:type="dxa"/>
            <w:right w:w="108" w:type="dxa"/>
          </w:tblCellMar>
        </w:tblPrEx>
        <w:trPr>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学科组</w:t>
            </w:r>
          </w:p>
        </w:tc>
        <w:tc>
          <w:tcPr>
            <w:tcW w:w="1509"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教师人数</w:t>
            </w:r>
          </w:p>
        </w:tc>
        <w:tc>
          <w:tcPr>
            <w:tcW w:w="1833" w:type="dxa"/>
            <w:gridSpan w:val="3"/>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有探究专题人数</w:t>
            </w:r>
          </w:p>
        </w:tc>
        <w:tc>
          <w:tcPr>
            <w:tcW w:w="1670"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发表相关</w:t>
            </w:r>
          </w:p>
          <w:p>
            <w:pPr>
              <w:adjustRightInd w:val="0"/>
              <w:snapToGrid w:val="0"/>
              <w:spacing w:line="240" w:lineRule="atLeast"/>
              <w:jc w:val="center"/>
              <w:rPr>
                <w:rFonts w:ascii="宋体" w:hAnsi="宋体"/>
                <w:szCs w:val="21"/>
              </w:rPr>
            </w:pPr>
            <w:r>
              <w:rPr>
                <w:rFonts w:hint="eastAsia" w:ascii="宋体" w:hAnsi="宋体"/>
                <w:szCs w:val="21"/>
              </w:rPr>
              <w:t>论文数</w:t>
            </w:r>
          </w:p>
        </w:tc>
        <w:tc>
          <w:tcPr>
            <w:tcW w:w="2566" w:type="dxa"/>
            <w:gridSpan w:val="3"/>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ascii="宋体" w:hAnsi="宋体"/>
                <w:szCs w:val="21"/>
              </w:rPr>
            </w:pPr>
            <w:r>
              <w:rPr>
                <w:rFonts w:hint="eastAsia" w:ascii="宋体" w:hAnsi="宋体"/>
                <w:szCs w:val="21"/>
              </w:rPr>
              <w:t>对校外示范开课次数</w:t>
            </w:r>
          </w:p>
        </w:tc>
      </w:tr>
      <w:tr>
        <w:tblPrEx>
          <w:tblLayout w:type="fixed"/>
          <w:tblCellMar>
            <w:top w:w="0" w:type="dxa"/>
            <w:left w:w="108" w:type="dxa"/>
            <w:bottom w:w="0" w:type="dxa"/>
            <w:right w:w="108" w:type="dxa"/>
          </w:tblCellMar>
        </w:tblPrEx>
        <w:trPr>
          <w:jc w:val="center"/>
        </w:trPr>
        <w:tc>
          <w:tcPr>
            <w:tcW w:w="202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语文</w:t>
            </w:r>
          </w:p>
        </w:tc>
        <w:tc>
          <w:tcPr>
            <w:tcW w:w="1509" w:type="dxa"/>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19</w:t>
            </w:r>
          </w:p>
        </w:tc>
        <w:tc>
          <w:tcPr>
            <w:tcW w:w="1833" w:type="dxa"/>
            <w:gridSpan w:val="3"/>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16</w:t>
            </w:r>
          </w:p>
        </w:tc>
        <w:tc>
          <w:tcPr>
            <w:tcW w:w="1670" w:type="dxa"/>
            <w:gridSpan w:val="2"/>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49</w:t>
            </w:r>
          </w:p>
        </w:tc>
        <w:tc>
          <w:tcPr>
            <w:tcW w:w="2566" w:type="dxa"/>
            <w:gridSpan w:val="3"/>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21</w:t>
            </w:r>
          </w:p>
        </w:tc>
      </w:tr>
      <w:tr>
        <w:tblPrEx>
          <w:tblLayout w:type="fixed"/>
          <w:tblCellMar>
            <w:top w:w="0" w:type="dxa"/>
            <w:left w:w="108" w:type="dxa"/>
            <w:bottom w:w="0" w:type="dxa"/>
            <w:right w:w="108" w:type="dxa"/>
          </w:tblCellMar>
        </w:tblPrEx>
        <w:trPr>
          <w:jc w:val="center"/>
        </w:trPr>
        <w:tc>
          <w:tcPr>
            <w:tcW w:w="202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数学</w:t>
            </w:r>
          </w:p>
        </w:tc>
        <w:tc>
          <w:tcPr>
            <w:tcW w:w="1509" w:type="dxa"/>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18</w:t>
            </w:r>
          </w:p>
        </w:tc>
        <w:tc>
          <w:tcPr>
            <w:tcW w:w="1833" w:type="dxa"/>
            <w:gridSpan w:val="3"/>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15</w:t>
            </w:r>
          </w:p>
        </w:tc>
        <w:tc>
          <w:tcPr>
            <w:tcW w:w="1670" w:type="dxa"/>
            <w:gridSpan w:val="2"/>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29</w:t>
            </w:r>
          </w:p>
        </w:tc>
        <w:tc>
          <w:tcPr>
            <w:tcW w:w="2566" w:type="dxa"/>
            <w:gridSpan w:val="3"/>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19</w:t>
            </w:r>
          </w:p>
        </w:tc>
      </w:tr>
      <w:tr>
        <w:tblPrEx>
          <w:tblLayout w:type="fixed"/>
          <w:tblCellMar>
            <w:top w:w="0" w:type="dxa"/>
            <w:left w:w="108" w:type="dxa"/>
            <w:bottom w:w="0" w:type="dxa"/>
            <w:right w:w="108" w:type="dxa"/>
          </w:tblCellMar>
        </w:tblPrEx>
        <w:trPr>
          <w:jc w:val="center"/>
        </w:trPr>
        <w:tc>
          <w:tcPr>
            <w:tcW w:w="202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英语</w:t>
            </w:r>
          </w:p>
        </w:tc>
        <w:tc>
          <w:tcPr>
            <w:tcW w:w="1509" w:type="dxa"/>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15</w:t>
            </w:r>
          </w:p>
        </w:tc>
        <w:tc>
          <w:tcPr>
            <w:tcW w:w="1833" w:type="dxa"/>
            <w:gridSpan w:val="3"/>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12</w:t>
            </w:r>
          </w:p>
        </w:tc>
        <w:tc>
          <w:tcPr>
            <w:tcW w:w="1670" w:type="dxa"/>
            <w:gridSpan w:val="2"/>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10</w:t>
            </w:r>
          </w:p>
        </w:tc>
        <w:tc>
          <w:tcPr>
            <w:tcW w:w="2566" w:type="dxa"/>
            <w:gridSpan w:val="3"/>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20</w:t>
            </w:r>
          </w:p>
        </w:tc>
      </w:tr>
      <w:tr>
        <w:tblPrEx>
          <w:tblLayout w:type="fixed"/>
          <w:tblCellMar>
            <w:top w:w="0" w:type="dxa"/>
            <w:left w:w="108" w:type="dxa"/>
            <w:bottom w:w="0" w:type="dxa"/>
            <w:right w:w="108" w:type="dxa"/>
          </w:tblCellMar>
        </w:tblPrEx>
        <w:trPr>
          <w:jc w:val="center"/>
        </w:trPr>
        <w:tc>
          <w:tcPr>
            <w:tcW w:w="202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政治</w:t>
            </w:r>
          </w:p>
        </w:tc>
        <w:tc>
          <w:tcPr>
            <w:tcW w:w="1509" w:type="dxa"/>
            <w:tcBorders>
              <w:top w:val="single" w:color="auto" w:sz="4" w:space="0"/>
              <w:left w:val="nil"/>
              <w:bottom w:val="single" w:color="auto" w:sz="4" w:space="0"/>
              <w:right w:val="single" w:color="auto" w:sz="4" w:space="0"/>
            </w:tcBorders>
          </w:tcPr>
          <w:p>
            <w:pPr>
              <w:adjustRightInd w:val="0"/>
              <w:snapToGrid w:val="0"/>
              <w:spacing w:line="240" w:lineRule="atLeast"/>
              <w:ind w:firstLine="630" w:firstLineChars="300"/>
              <w:rPr>
                <w:rFonts w:ascii="宋体" w:hAnsi="宋体"/>
                <w:szCs w:val="21"/>
              </w:rPr>
            </w:pPr>
            <w:r>
              <w:rPr>
                <w:rFonts w:hint="eastAsia" w:ascii="宋体" w:hAnsi="宋体"/>
                <w:szCs w:val="21"/>
              </w:rPr>
              <w:t>5</w:t>
            </w:r>
          </w:p>
        </w:tc>
        <w:tc>
          <w:tcPr>
            <w:tcW w:w="1833" w:type="dxa"/>
            <w:gridSpan w:val="3"/>
            <w:tcBorders>
              <w:top w:val="single" w:color="auto" w:sz="4" w:space="0"/>
              <w:left w:val="nil"/>
              <w:bottom w:val="single" w:color="auto" w:sz="4" w:space="0"/>
              <w:right w:val="single" w:color="auto" w:sz="4" w:space="0"/>
            </w:tcBorders>
          </w:tcPr>
          <w:p>
            <w:pPr>
              <w:adjustRightInd w:val="0"/>
              <w:snapToGrid w:val="0"/>
              <w:spacing w:line="240" w:lineRule="atLeast"/>
              <w:ind w:firstLine="810" w:firstLineChars="386"/>
              <w:rPr>
                <w:rFonts w:ascii="宋体" w:hAnsi="宋体"/>
                <w:szCs w:val="21"/>
              </w:rPr>
            </w:pPr>
            <w:r>
              <w:rPr>
                <w:rFonts w:hint="eastAsia" w:ascii="宋体" w:hAnsi="宋体"/>
                <w:szCs w:val="21"/>
              </w:rPr>
              <w:t>3</w:t>
            </w:r>
          </w:p>
        </w:tc>
        <w:tc>
          <w:tcPr>
            <w:tcW w:w="1670" w:type="dxa"/>
            <w:gridSpan w:val="2"/>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10</w:t>
            </w:r>
          </w:p>
        </w:tc>
        <w:tc>
          <w:tcPr>
            <w:tcW w:w="2566" w:type="dxa"/>
            <w:gridSpan w:val="3"/>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9</w:t>
            </w:r>
          </w:p>
        </w:tc>
      </w:tr>
      <w:tr>
        <w:tblPrEx>
          <w:tblLayout w:type="fixed"/>
          <w:tblCellMar>
            <w:top w:w="0" w:type="dxa"/>
            <w:left w:w="108" w:type="dxa"/>
            <w:bottom w:w="0" w:type="dxa"/>
            <w:right w:w="108" w:type="dxa"/>
          </w:tblCellMar>
        </w:tblPrEx>
        <w:trPr>
          <w:jc w:val="center"/>
        </w:trPr>
        <w:tc>
          <w:tcPr>
            <w:tcW w:w="202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历史</w:t>
            </w:r>
          </w:p>
        </w:tc>
        <w:tc>
          <w:tcPr>
            <w:tcW w:w="1509" w:type="dxa"/>
            <w:tcBorders>
              <w:top w:val="single" w:color="auto" w:sz="4" w:space="0"/>
              <w:left w:val="nil"/>
              <w:bottom w:val="single" w:color="auto" w:sz="4" w:space="0"/>
              <w:right w:val="single" w:color="auto" w:sz="4" w:space="0"/>
            </w:tcBorders>
          </w:tcPr>
          <w:p>
            <w:pPr>
              <w:adjustRightInd w:val="0"/>
              <w:snapToGrid w:val="0"/>
              <w:spacing w:line="240" w:lineRule="atLeast"/>
              <w:ind w:firstLine="630" w:firstLineChars="300"/>
              <w:rPr>
                <w:rFonts w:ascii="宋体" w:hAnsi="宋体"/>
                <w:szCs w:val="21"/>
              </w:rPr>
            </w:pPr>
            <w:r>
              <w:rPr>
                <w:rFonts w:hint="eastAsia" w:ascii="宋体" w:hAnsi="宋体"/>
                <w:szCs w:val="21"/>
              </w:rPr>
              <w:t>6</w:t>
            </w:r>
          </w:p>
        </w:tc>
        <w:tc>
          <w:tcPr>
            <w:tcW w:w="1833" w:type="dxa"/>
            <w:gridSpan w:val="3"/>
            <w:tcBorders>
              <w:top w:val="single" w:color="auto" w:sz="4" w:space="0"/>
              <w:left w:val="nil"/>
              <w:bottom w:val="single" w:color="auto" w:sz="4" w:space="0"/>
              <w:right w:val="single" w:color="auto" w:sz="4" w:space="0"/>
            </w:tcBorders>
          </w:tcPr>
          <w:p>
            <w:pPr>
              <w:adjustRightInd w:val="0"/>
              <w:snapToGrid w:val="0"/>
              <w:spacing w:line="240" w:lineRule="atLeast"/>
              <w:ind w:firstLine="810" w:firstLineChars="386"/>
              <w:rPr>
                <w:rFonts w:ascii="宋体" w:hAnsi="宋体"/>
                <w:szCs w:val="21"/>
              </w:rPr>
            </w:pPr>
            <w:r>
              <w:rPr>
                <w:rFonts w:hint="eastAsia" w:ascii="宋体" w:hAnsi="宋体"/>
                <w:szCs w:val="21"/>
              </w:rPr>
              <w:t>2</w:t>
            </w:r>
          </w:p>
        </w:tc>
        <w:tc>
          <w:tcPr>
            <w:tcW w:w="1670" w:type="dxa"/>
            <w:gridSpan w:val="2"/>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12</w:t>
            </w:r>
          </w:p>
        </w:tc>
        <w:tc>
          <w:tcPr>
            <w:tcW w:w="2566" w:type="dxa"/>
            <w:gridSpan w:val="3"/>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8</w:t>
            </w:r>
          </w:p>
        </w:tc>
      </w:tr>
      <w:tr>
        <w:tblPrEx>
          <w:tblLayout w:type="fixed"/>
          <w:tblCellMar>
            <w:top w:w="0" w:type="dxa"/>
            <w:left w:w="108" w:type="dxa"/>
            <w:bottom w:w="0" w:type="dxa"/>
            <w:right w:w="108" w:type="dxa"/>
          </w:tblCellMar>
        </w:tblPrEx>
        <w:trPr>
          <w:jc w:val="center"/>
        </w:trPr>
        <w:tc>
          <w:tcPr>
            <w:tcW w:w="202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物理</w:t>
            </w:r>
          </w:p>
        </w:tc>
        <w:tc>
          <w:tcPr>
            <w:tcW w:w="1509" w:type="dxa"/>
            <w:tcBorders>
              <w:top w:val="single" w:color="auto" w:sz="4" w:space="0"/>
              <w:left w:val="nil"/>
              <w:bottom w:val="single" w:color="auto" w:sz="4" w:space="0"/>
              <w:right w:val="single" w:color="auto" w:sz="4" w:space="0"/>
            </w:tcBorders>
          </w:tcPr>
          <w:p>
            <w:pPr>
              <w:adjustRightInd w:val="0"/>
              <w:snapToGrid w:val="0"/>
              <w:spacing w:line="240" w:lineRule="atLeast"/>
              <w:rPr>
                <w:rFonts w:ascii="宋体" w:hAnsi="宋体"/>
                <w:szCs w:val="21"/>
              </w:rPr>
            </w:pPr>
            <w:r>
              <w:rPr>
                <w:rFonts w:hint="eastAsia" w:ascii="宋体" w:hAnsi="宋体"/>
                <w:szCs w:val="21"/>
              </w:rPr>
              <w:t xml:space="preserve">      6</w:t>
            </w:r>
          </w:p>
        </w:tc>
        <w:tc>
          <w:tcPr>
            <w:tcW w:w="1833" w:type="dxa"/>
            <w:gridSpan w:val="3"/>
            <w:tcBorders>
              <w:top w:val="single" w:color="auto" w:sz="4" w:space="0"/>
              <w:left w:val="nil"/>
              <w:bottom w:val="single" w:color="auto" w:sz="4" w:space="0"/>
              <w:right w:val="single" w:color="auto" w:sz="4" w:space="0"/>
            </w:tcBorders>
          </w:tcPr>
          <w:p>
            <w:pPr>
              <w:adjustRightInd w:val="0"/>
              <w:snapToGrid w:val="0"/>
              <w:spacing w:line="240" w:lineRule="atLeast"/>
              <w:ind w:firstLine="810" w:firstLineChars="386"/>
              <w:rPr>
                <w:rFonts w:ascii="宋体" w:hAnsi="宋体"/>
                <w:szCs w:val="21"/>
              </w:rPr>
            </w:pPr>
            <w:r>
              <w:rPr>
                <w:rFonts w:hint="eastAsia" w:ascii="宋体" w:hAnsi="宋体"/>
                <w:szCs w:val="21"/>
              </w:rPr>
              <w:t>6</w:t>
            </w:r>
          </w:p>
        </w:tc>
        <w:tc>
          <w:tcPr>
            <w:tcW w:w="1670" w:type="dxa"/>
            <w:gridSpan w:val="2"/>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8</w:t>
            </w:r>
          </w:p>
        </w:tc>
        <w:tc>
          <w:tcPr>
            <w:tcW w:w="2566" w:type="dxa"/>
            <w:gridSpan w:val="3"/>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7</w:t>
            </w:r>
          </w:p>
        </w:tc>
      </w:tr>
      <w:tr>
        <w:tblPrEx>
          <w:tblLayout w:type="fixed"/>
          <w:tblCellMar>
            <w:top w:w="0" w:type="dxa"/>
            <w:left w:w="108" w:type="dxa"/>
            <w:bottom w:w="0" w:type="dxa"/>
            <w:right w:w="108" w:type="dxa"/>
          </w:tblCellMar>
        </w:tblPrEx>
        <w:trPr>
          <w:jc w:val="center"/>
        </w:trPr>
        <w:tc>
          <w:tcPr>
            <w:tcW w:w="202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化学</w:t>
            </w:r>
          </w:p>
        </w:tc>
        <w:tc>
          <w:tcPr>
            <w:tcW w:w="1509" w:type="dxa"/>
            <w:tcBorders>
              <w:top w:val="single" w:color="auto" w:sz="4" w:space="0"/>
              <w:left w:val="nil"/>
              <w:bottom w:val="single" w:color="auto" w:sz="4" w:space="0"/>
              <w:right w:val="single" w:color="auto" w:sz="4" w:space="0"/>
            </w:tcBorders>
          </w:tcPr>
          <w:p>
            <w:pPr>
              <w:adjustRightInd w:val="0"/>
              <w:snapToGrid w:val="0"/>
              <w:spacing w:line="240" w:lineRule="atLeast"/>
              <w:rPr>
                <w:rFonts w:ascii="宋体" w:hAnsi="宋体"/>
                <w:szCs w:val="21"/>
              </w:rPr>
            </w:pPr>
            <w:r>
              <w:rPr>
                <w:rFonts w:hint="eastAsia" w:ascii="宋体" w:hAnsi="宋体"/>
                <w:szCs w:val="21"/>
              </w:rPr>
              <w:t xml:space="preserve">      4</w:t>
            </w:r>
          </w:p>
        </w:tc>
        <w:tc>
          <w:tcPr>
            <w:tcW w:w="1833" w:type="dxa"/>
            <w:gridSpan w:val="3"/>
            <w:tcBorders>
              <w:top w:val="single" w:color="auto" w:sz="4" w:space="0"/>
              <w:left w:val="nil"/>
              <w:bottom w:val="single" w:color="auto" w:sz="4" w:space="0"/>
              <w:right w:val="single" w:color="auto" w:sz="4" w:space="0"/>
            </w:tcBorders>
          </w:tcPr>
          <w:p>
            <w:pPr>
              <w:adjustRightInd w:val="0"/>
              <w:snapToGrid w:val="0"/>
              <w:spacing w:line="240" w:lineRule="atLeast"/>
              <w:ind w:firstLine="810" w:firstLineChars="386"/>
              <w:rPr>
                <w:rFonts w:ascii="宋体" w:hAnsi="宋体"/>
                <w:szCs w:val="21"/>
              </w:rPr>
            </w:pPr>
            <w:r>
              <w:rPr>
                <w:rFonts w:hint="eastAsia" w:ascii="宋体" w:hAnsi="宋体"/>
                <w:szCs w:val="21"/>
              </w:rPr>
              <w:t>4</w:t>
            </w:r>
          </w:p>
        </w:tc>
        <w:tc>
          <w:tcPr>
            <w:tcW w:w="1670" w:type="dxa"/>
            <w:gridSpan w:val="2"/>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6</w:t>
            </w:r>
          </w:p>
        </w:tc>
        <w:tc>
          <w:tcPr>
            <w:tcW w:w="2566" w:type="dxa"/>
            <w:gridSpan w:val="3"/>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6</w:t>
            </w:r>
          </w:p>
        </w:tc>
      </w:tr>
      <w:tr>
        <w:tblPrEx>
          <w:tblLayout w:type="fixed"/>
          <w:tblCellMar>
            <w:top w:w="0" w:type="dxa"/>
            <w:left w:w="108" w:type="dxa"/>
            <w:bottom w:w="0" w:type="dxa"/>
            <w:right w:w="108" w:type="dxa"/>
          </w:tblCellMar>
        </w:tblPrEx>
        <w:trPr>
          <w:jc w:val="center"/>
        </w:trPr>
        <w:tc>
          <w:tcPr>
            <w:tcW w:w="202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生物</w:t>
            </w:r>
          </w:p>
        </w:tc>
        <w:tc>
          <w:tcPr>
            <w:tcW w:w="1509" w:type="dxa"/>
            <w:tcBorders>
              <w:top w:val="single" w:color="auto" w:sz="4" w:space="0"/>
              <w:left w:val="nil"/>
              <w:bottom w:val="single" w:color="auto" w:sz="4" w:space="0"/>
              <w:right w:val="single" w:color="auto" w:sz="4" w:space="0"/>
            </w:tcBorders>
          </w:tcPr>
          <w:p>
            <w:pPr>
              <w:adjustRightInd w:val="0"/>
              <w:snapToGrid w:val="0"/>
              <w:spacing w:line="240" w:lineRule="atLeast"/>
              <w:ind w:firstLine="630" w:firstLineChars="300"/>
              <w:rPr>
                <w:rFonts w:ascii="宋体" w:hAnsi="宋体"/>
                <w:szCs w:val="21"/>
              </w:rPr>
            </w:pPr>
            <w:r>
              <w:rPr>
                <w:rFonts w:hint="eastAsia" w:ascii="宋体" w:hAnsi="宋体"/>
                <w:szCs w:val="21"/>
              </w:rPr>
              <w:t>4</w:t>
            </w:r>
          </w:p>
        </w:tc>
        <w:tc>
          <w:tcPr>
            <w:tcW w:w="1833" w:type="dxa"/>
            <w:gridSpan w:val="3"/>
            <w:tcBorders>
              <w:top w:val="single" w:color="auto" w:sz="4" w:space="0"/>
              <w:left w:val="nil"/>
              <w:bottom w:val="single" w:color="auto" w:sz="4" w:space="0"/>
              <w:right w:val="single" w:color="auto" w:sz="4" w:space="0"/>
            </w:tcBorders>
          </w:tcPr>
          <w:p>
            <w:pPr>
              <w:adjustRightInd w:val="0"/>
              <w:snapToGrid w:val="0"/>
              <w:spacing w:line="240" w:lineRule="atLeast"/>
              <w:ind w:firstLine="810" w:firstLineChars="386"/>
              <w:rPr>
                <w:rFonts w:ascii="宋体" w:hAnsi="宋体"/>
                <w:szCs w:val="21"/>
              </w:rPr>
            </w:pPr>
            <w:r>
              <w:rPr>
                <w:rFonts w:hint="eastAsia" w:ascii="宋体" w:hAnsi="宋体"/>
                <w:szCs w:val="21"/>
              </w:rPr>
              <w:t>3</w:t>
            </w:r>
          </w:p>
        </w:tc>
        <w:tc>
          <w:tcPr>
            <w:tcW w:w="1670" w:type="dxa"/>
            <w:gridSpan w:val="2"/>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6</w:t>
            </w:r>
          </w:p>
        </w:tc>
        <w:tc>
          <w:tcPr>
            <w:tcW w:w="2566" w:type="dxa"/>
            <w:gridSpan w:val="3"/>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6</w:t>
            </w:r>
          </w:p>
        </w:tc>
      </w:tr>
      <w:tr>
        <w:tblPrEx>
          <w:tblLayout w:type="fixed"/>
          <w:tblCellMar>
            <w:top w:w="0" w:type="dxa"/>
            <w:left w:w="108" w:type="dxa"/>
            <w:bottom w:w="0" w:type="dxa"/>
            <w:right w:w="108" w:type="dxa"/>
          </w:tblCellMar>
        </w:tblPrEx>
        <w:trPr>
          <w:jc w:val="center"/>
        </w:trPr>
        <w:tc>
          <w:tcPr>
            <w:tcW w:w="202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音乐</w:t>
            </w:r>
          </w:p>
        </w:tc>
        <w:tc>
          <w:tcPr>
            <w:tcW w:w="1509" w:type="dxa"/>
            <w:tcBorders>
              <w:top w:val="single" w:color="auto" w:sz="4" w:space="0"/>
              <w:left w:val="nil"/>
              <w:bottom w:val="single" w:color="auto" w:sz="4" w:space="0"/>
              <w:right w:val="single" w:color="auto" w:sz="4" w:space="0"/>
            </w:tcBorders>
          </w:tcPr>
          <w:p>
            <w:pPr>
              <w:adjustRightInd w:val="0"/>
              <w:snapToGrid w:val="0"/>
              <w:spacing w:line="240" w:lineRule="atLeast"/>
              <w:rPr>
                <w:rFonts w:ascii="宋体" w:hAnsi="宋体"/>
                <w:szCs w:val="21"/>
              </w:rPr>
            </w:pPr>
            <w:r>
              <w:rPr>
                <w:rFonts w:hint="eastAsia" w:ascii="宋体" w:hAnsi="宋体"/>
                <w:szCs w:val="21"/>
              </w:rPr>
              <w:t xml:space="preserve">      4</w:t>
            </w:r>
          </w:p>
        </w:tc>
        <w:tc>
          <w:tcPr>
            <w:tcW w:w="1833" w:type="dxa"/>
            <w:gridSpan w:val="3"/>
            <w:tcBorders>
              <w:top w:val="single" w:color="auto" w:sz="4" w:space="0"/>
              <w:left w:val="nil"/>
              <w:bottom w:val="single" w:color="auto" w:sz="4" w:space="0"/>
              <w:right w:val="single" w:color="auto" w:sz="4" w:space="0"/>
            </w:tcBorders>
          </w:tcPr>
          <w:p>
            <w:pPr>
              <w:adjustRightInd w:val="0"/>
              <w:snapToGrid w:val="0"/>
              <w:spacing w:line="240" w:lineRule="atLeast"/>
              <w:ind w:firstLine="810" w:firstLineChars="386"/>
              <w:rPr>
                <w:rFonts w:ascii="宋体" w:hAnsi="宋体"/>
                <w:szCs w:val="21"/>
              </w:rPr>
            </w:pPr>
            <w:r>
              <w:rPr>
                <w:rFonts w:hint="eastAsia" w:ascii="宋体" w:hAnsi="宋体"/>
                <w:szCs w:val="21"/>
              </w:rPr>
              <w:t>3</w:t>
            </w:r>
          </w:p>
        </w:tc>
        <w:tc>
          <w:tcPr>
            <w:tcW w:w="1670" w:type="dxa"/>
            <w:gridSpan w:val="2"/>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4</w:t>
            </w:r>
          </w:p>
        </w:tc>
        <w:tc>
          <w:tcPr>
            <w:tcW w:w="2566" w:type="dxa"/>
            <w:gridSpan w:val="3"/>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5</w:t>
            </w:r>
          </w:p>
        </w:tc>
      </w:tr>
      <w:tr>
        <w:tblPrEx>
          <w:tblLayout w:type="fixed"/>
          <w:tblCellMar>
            <w:top w:w="0" w:type="dxa"/>
            <w:left w:w="108" w:type="dxa"/>
            <w:bottom w:w="0" w:type="dxa"/>
            <w:right w:w="108" w:type="dxa"/>
          </w:tblCellMar>
        </w:tblPrEx>
        <w:trPr>
          <w:jc w:val="center"/>
        </w:trPr>
        <w:tc>
          <w:tcPr>
            <w:tcW w:w="202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美术</w:t>
            </w:r>
          </w:p>
        </w:tc>
        <w:tc>
          <w:tcPr>
            <w:tcW w:w="1509" w:type="dxa"/>
            <w:tcBorders>
              <w:top w:val="single" w:color="auto" w:sz="4" w:space="0"/>
              <w:left w:val="nil"/>
              <w:bottom w:val="single" w:color="auto" w:sz="4" w:space="0"/>
              <w:right w:val="single" w:color="auto" w:sz="4" w:space="0"/>
            </w:tcBorders>
          </w:tcPr>
          <w:p>
            <w:pPr>
              <w:adjustRightInd w:val="0"/>
              <w:snapToGrid w:val="0"/>
              <w:spacing w:line="240" w:lineRule="atLeast"/>
              <w:rPr>
                <w:rFonts w:ascii="宋体" w:hAnsi="宋体"/>
                <w:szCs w:val="21"/>
              </w:rPr>
            </w:pPr>
            <w:r>
              <w:rPr>
                <w:rFonts w:hint="eastAsia" w:ascii="宋体" w:hAnsi="宋体"/>
                <w:szCs w:val="21"/>
              </w:rPr>
              <w:t xml:space="preserve">      8</w:t>
            </w:r>
          </w:p>
        </w:tc>
        <w:tc>
          <w:tcPr>
            <w:tcW w:w="1833" w:type="dxa"/>
            <w:gridSpan w:val="3"/>
            <w:tcBorders>
              <w:top w:val="single" w:color="auto" w:sz="4" w:space="0"/>
              <w:left w:val="nil"/>
              <w:bottom w:val="single" w:color="auto" w:sz="4" w:space="0"/>
              <w:right w:val="single" w:color="auto" w:sz="4" w:space="0"/>
            </w:tcBorders>
          </w:tcPr>
          <w:p>
            <w:pPr>
              <w:adjustRightInd w:val="0"/>
              <w:snapToGrid w:val="0"/>
              <w:spacing w:line="240" w:lineRule="atLeast"/>
              <w:ind w:firstLine="810" w:firstLineChars="386"/>
              <w:rPr>
                <w:rFonts w:ascii="宋体" w:hAnsi="宋体"/>
                <w:szCs w:val="21"/>
              </w:rPr>
            </w:pPr>
            <w:r>
              <w:rPr>
                <w:rFonts w:hint="eastAsia" w:ascii="宋体" w:hAnsi="宋体"/>
                <w:szCs w:val="21"/>
              </w:rPr>
              <w:t>8</w:t>
            </w:r>
          </w:p>
        </w:tc>
        <w:tc>
          <w:tcPr>
            <w:tcW w:w="1670" w:type="dxa"/>
            <w:gridSpan w:val="2"/>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13</w:t>
            </w:r>
          </w:p>
        </w:tc>
        <w:tc>
          <w:tcPr>
            <w:tcW w:w="2566" w:type="dxa"/>
            <w:gridSpan w:val="3"/>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5</w:t>
            </w:r>
          </w:p>
        </w:tc>
      </w:tr>
      <w:tr>
        <w:tblPrEx>
          <w:tblLayout w:type="fixed"/>
          <w:tblCellMar>
            <w:top w:w="0" w:type="dxa"/>
            <w:left w:w="108" w:type="dxa"/>
            <w:bottom w:w="0" w:type="dxa"/>
            <w:right w:w="108" w:type="dxa"/>
          </w:tblCellMar>
        </w:tblPrEx>
        <w:trPr>
          <w:jc w:val="center"/>
        </w:trPr>
        <w:tc>
          <w:tcPr>
            <w:tcW w:w="202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体育</w:t>
            </w:r>
          </w:p>
        </w:tc>
        <w:tc>
          <w:tcPr>
            <w:tcW w:w="1509" w:type="dxa"/>
            <w:tcBorders>
              <w:top w:val="single" w:color="auto" w:sz="4" w:space="0"/>
              <w:left w:val="nil"/>
              <w:bottom w:val="single" w:color="auto" w:sz="4" w:space="0"/>
              <w:right w:val="single" w:color="auto" w:sz="4" w:space="0"/>
            </w:tcBorders>
          </w:tcPr>
          <w:p>
            <w:pPr>
              <w:adjustRightInd w:val="0"/>
              <w:snapToGrid w:val="0"/>
              <w:spacing w:line="240" w:lineRule="atLeast"/>
              <w:rPr>
                <w:rFonts w:ascii="宋体" w:hAnsi="宋体"/>
                <w:szCs w:val="21"/>
              </w:rPr>
            </w:pPr>
            <w:r>
              <w:rPr>
                <w:rFonts w:hint="eastAsia" w:ascii="宋体" w:hAnsi="宋体"/>
                <w:szCs w:val="21"/>
              </w:rPr>
              <w:t xml:space="preserve">      5</w:t>
            </w:r>
          </w:p>
        </w:tc>
        <w:tc>
          <w:tcPr>
            <w:tcW w:w="1833" w:type="dxa"/>
            <w:gridSpan w:val="3"/>
            <w:tcBorders>
              <w:top w:val="single" w:color="auto" w:sz="4" w:space="0"/>
              <w:left w:val="nil"/>
              <w:bottom w:val="single" w:color="auto" w:sz="4" w:space="0"/>
              <w:right w:val="single" w:color="auto" w:sz="4" w:space="0"/>
            </w:tcBorders>
          </w:tcPr>
          <w:p>
            <w:pPr>
              <w:adjustRightInd w:val="0"/>
              <w:snapToGrid w:val="0"/>
              <w:spacing w:line="240" w:lineRule="atLeast"/>
              <w:ind w:firstLine="810" w:firstLineChars="386"/>
              <w:rPr>
                <w:rFonts w:ascii="宋体" w:hAnsi="宋体"/>
                <w:szCs w:val="21"/>
              </w:rPr>
            </w:pPr>
            <w:r>
              <w:rPr>
                <w:rFonts w:hint="eastAsia" w:ascii="宋体" w:hAnsi="宋体"/>
                <w:szCs w:val="21"/>
              </w:rPr>
              <w:t>0</w:t>
            </w:r>
          </w:p>
        </w:tc>
        <w:tc>
          <w:tcPr>
            <w:tcW w:w="1670" w:type="dxa"/>
            <w:gridSpan w:val="2"/>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3</w:t>
            </w:r>
          </w:p>
        </w:tc>
        <w:tc>
          <w:tcPr>
            <w:tcW w:w="2566" w:type="dxa"/>
            <w:gridSpan w:val="3"/>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5</w:t>
            </w:r>
          </w:p>
        </w:tc>
      </w:tr>
      <w:tr>
        <w:tblPrEx>
          <w:tblLayout w:type="fixed"/>
          <w:tblCellMar>
            <w:top w:w="0" w:type="dxa"/>
            <w:left w:w="108" w:type="dxa"/>
            <w:bottom w:w="0" w:type="dxa"/>
            <w:right w:w="108" w:type="dxa"/>
          </w:tblCellMar>
        </w:tblPrEx>
        <w:trPr>
          <w:jc w:val="center"/>
        </w:trPr>
        <w:tc>
          <w:tcPr>
            <w:tcW w:w="202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信息技术</w:t>
            </w:r>
          </w:p>
        </w:tc>
        <w:tc>
          <w:tcPr>
            <w:tcW w:w="1509" w:type="dxa"/>
            <w:tcBorders>
              <w:top w:val="single" w:color="auto" w:sz="4" w:space="0"/>
              <w:left w:val="nil"/>
              <w:bottom w:val="single" w:color="auto" w:sz="4" w:space="0"/>
              <w:right w:val="single" w:color="auto" w:sz="4" w:space="0"/>
            </w:tcBorders>
          </w:tcPr>
          <w:p>
            <w:pPr>
              <w:adjustRightInd w:val="0"/>
              <w:snapToGrid w:val="0"/>
              <w:spacing w:line="240" w:lineRule="atLeast"/>
              <w:ind w:firstLine="630" w:firstLineChars="300"/>
              <w:rPr>
                <w:rFonts w:ascii="宋体" w:hAnsi="宋体"/>
                <w:szCs w:val="21"/>
              </w:rPr>
            </w:pPr>
            <w:r>
              <w:rPr>
                <w:rFonts w:hint="eastAsia" w:ascii="宋体" w:hAnsi="宋体"/>
                <w:szCs w:val="21"/>
              </w:rPr>
              <w:t>2</w:t>
            </w:r>
          </w:p>
        </w:tc>
        <w:tc>
          <w:tcPr>
            <w:tcW w:w="1833" w:type="dxa"/>
            <w:gridSpan w:val="3"/>
            <w:tcBorders>
              <w:top w:val="single" w:color="auto" w:sz="4" w:space="0"/>
              <w:left w:val="nil"/>
              <w:bottom w:val="single" w:color="auto" w:sz="4" w:space="0"/>
              <w:right w:val="single" w:color="auto" w:sz="4" w:space="0"/>
            </w:tcBorders>
          </w:tcPr>
          <w:p>
            <w:pPr>
              <w:adjustRightInd w:val="0"/>
              <w:snapToGrid w:val="0"/>
              <w:spacing w:line="240" w:lineRule="atLeast"/>
              <w:ind w:firstLine="810" w:firstLineChars="386"/>
              <w:rPr>
                <w:rFonts w:ascii="宋体" w:hAnsi="宋体"/>
                <w:szCs w:val="21"/>
              </w:rPr>
            </w:pPr>
            <w:r>
              <w:rPr>
                <w:rFonts w:hint="eastAsia" w:ascii="宋体" w:hAnsi="宋体"/>
                <w:szCs w:val="21"/>
              </w:rPr>
              <w:t>1</w:t>
            </w:r>
          </w:p>
        </w:tc>
        <w:tc>
          <w:tcPr>
            <w:tcW w:w="1670" w:type="dxa"/>
            <w:gridSpan w:val="2"/>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3</w:t>
            </w:r>
          </w:p>
        </w:tc>
        <w:tc>
          <w:tcPr>
            <w:tcW w:w="2566" w:type="dxa"/>
            <w:gridSpan w:val="3"/>
            <w:tcBorders>
              <w:top w:val="single" w:color="auto" w:sz="4" w:space="0"/>
              <w:left w:val="nil"/>
              <w:bottom w:val="single" w:color="auto" w:sz="4" w:space="0"/>
              <w:right w:val="single" w:color="auto" w:sz="4" w:space="0"/>
            </w:tcBorders>
          </w:tcPr>
          <w:p>
            <w:pPr>
              <w:adjustRightInd w:val="0"/>
              <w:snapToGrid w:val="0"/>
              <w:spacing w:line="240" w:lineRule="atLeast"/>
              <w:jc w:val="center"/>
              <w:rPr>
                <w:rFonts w:ascii="宋体" w:hAnsi="宋体"/>
                <w:szCs w:val="21"/>
              </w:rPr>
            </w:pPr>
            <w:r>
              <w:rPr>
                <w:rFonts w:hint="eastAsia" w:ascii="宋体" w:hAnsi="宋体"/>
                <w:szCs w:val="21"/>
              </w:rPr>
              <w:t>2</w:t>
            </w:r>
          </w:p>
        </w:tc>
      </w:tr>
    </w:tbl>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Cs w:val="21"/>
        </w:rPr>
      </w:pPr>
      <w:r>
        <w:rPr>
          <w:rFonts w:hint="eastAsia" w:ascii="宋体"/>
          <w:b/>
          <w:sz w:val="28"/>
          <w:szCs w:val="28"/>
        </w:rPr>
        <w:t>15.学生体质健康与近视眼防治情况表</w:t>
      </w:r>
    </w:p>
    <w:tbl>
      <w:tblPr>
        <w:tblStyle w:val="14"/>
        <w:tblW w:w="9299" w:type="dxa"/>
        <w:jc w:val="center"/>
        <w:tblInd w:w="0" w:type="dxa"/>
        <w:tblLayout w:type="fixed"/>
        <w:tblCellMar>
          <w:top w:w="0" w:type="dxa"/>
          <w:left w:w="28" w:type="dxa"/>
          <w:bottom w:w="0" w:type="dxa"/>
          <w:right w:w="28" w:type="dxa"/>
        </w:tblCellMar>
      </w:tblPr>
      <w:tblGrid>
        <w:gridCol w:w="2067"/>
        <w:gridCol w:w="1398"/>
        <w:gridCol w:w="1398"/>
        <w:gridCol w:w="1245"/>
        <w:gridCol w:w="1201"/>
        <w:gridCol w:w="1990"/>
      </w:tblGrid>
      <w:tr>
        <w:tblPrEx>
          <w:tblLayout w:type="fixed"/>
          <w:tblCellMar>
            <w:top w:w="0" w:type="dxa"/>
            <w:left w:w="28" w:type="dxa"/>
            <w:bottom w:w="0" w:type="dxa"/>
            <w:right w:w="28" w:type="dxa"/>
          </w:tblCellMar>
        </w:tblPrEx>
        <w:trPr>
          <w:cantSplit/>
          <w:trHeight w:val="270" w:hRule="atLeast"/>
          <w:jc w:val="center"/>
        </w:trPr>
        <w:tc>
          <w:tcPr>
            <w:tcW w:w="20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学年度</w:t>
            </w:r>
          </w:p>
        </w:tc>
        <w:tc>
          <w:tcPr>
            <w:tcW w:w="13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年级</w:t>
            </w:r>
          </w:p>
        </w:tc>
        <w:tc>
          <w:tcPr>
            <w:tcW w:w="13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人数</w:t>
            </w:r>
          </w:p>
        </w:tc>
        <w:tc>
          <w:tcPr>
            <w:tcW w:w="24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体质健康达标率</w:t>
            </w:r>
          </w:p>
        </w:tc>
        <w:tc>
          <w:tcPr>
            <w:tcW w:w="199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近视率</w:t>
            </w:r>
          </w:p>
        </w:tc>
      </w:tr>
      <w:tr>
        <w:tblPrEx>
          <w:tblLayout w:type="fixed"/>
          <w:tblCellMar>
            <w:top w:w="0" w:type="dxa"/>
            <w:left w:w="28" w:type="dxa"/>
            <w:bottom w:w="0" w:type="dxa"/>
            <w:right w:w="28" w:type="dxa"/>
          </w:tblCellMar>
        </w:tblPrEx>
        <w:trPr>
          <w:cantSplit/>
          <w:trHeight w:val="261"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合格率</w:t>
            </w:r>
          </w:p>
        </w:tc>
        <w:tc>
          <w:tcPr>
            <w:tcW w:w="12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优秀率</w:t>
            </w:r>
          </w:p>
        </w:tc>
        <w:tc>
          <w:tcPr>
            <w:tcW w:w="19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Layout w:type="fixed"/>
          <w:tblCellMar>
            <w:top w:w="0" w:type="dxa"/>
            <w:left w:w="28" w:type="dxa"/>
            <w:bottom w:w="0" w:type="dxa"/>
            <w:right w:w="28" w:type="dxa"/>
          </w:tblCellMar>
        </w:tblPrEx>
        <w:trPr>
          <w:cantSplit/>
          <w:trHeight w:val="351" w:hRule="atLeast"/>
          <w:jc w:val="center"/>
        </w:trPr>
        <w:tc>
          <w:tcPr>
            <w:tcW w:w="20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2014年度</w:t>
            </w: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高一</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440</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99.42%</w:t>
            </w:r>
          </w:p>
        </w:tc>
        <w:tc>
          <w:tcPr>
            <w:tcW w:w="12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10.91%</w:t>
            </w: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61.2</w:t>
            </w:r>
          </w:p>
        </w:tc>
      </w:tr>
      <w:tr>
        <w:tblPrEx>
          <w:tblLayout w:type="fixed"/>
          <w:tblCellMar>
            <w:top w:w="0" w:type="dxa"/>
            <w:left w:w="28" w:type="dxa"/>
            <w:bottom w:w="0" w:type="dxa"/>
            <w:right w:w="28" w:type="dxa"/>
          </w:tblCellMar>
        </w:tblPrEx>
        <w:trPr>
          <w:cantSplit/>
          <w:trHeight w:val="351"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高二</w:t>
            </w: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431</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98.71%</w:t>
            </w:r>
          </w:p>
        </w:tc>
        <w:tc>
          <w:tcPr>
            <w:tcW w:w="12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10.86%</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62.5</w:t>
            </w:r>
          </w:p>
        </w:tc>
      </w:tr>
      <w:tr>
        <w:tblPrEx>
          <w:tblLayout w:type="fixed"/>
          <w:tblCellMar>
            <w:top w:w="0" w:type="dxa"/>
            <w:left w:w="28" w:type="dxa"/>
            <w:bottom w:w="0" w:type="dxa"/>
            <w:right w:w="28" w:type="dxa"/>
          </w:tblCellMar>
        </w:tblPrEx>
        <w:trPr>
          <w:cantSplit/>
          <w:trHeight w:val="351"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高三</w:t>
            </w: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581</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97.01%</w:t>
            </w:r>
          </w:p>
        </w:tc>
        <w:tc>
          <w:tcPr>
            <w:tcW w:w="12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10.52%</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66.7</w:t>
            </w:r>
          </w:p>
        </w:tc>
      </w:tr>
      <w:tr>
        <w:tblPrEx>
          <w:tblLayout w:type="fixed"/>
          <w:tblCellMar>
            <w:top w:w="0" w:type="dxa"/>
            <w:left w:w="28" w:type="dxa"/>
            <w:bottom w:w="0" w:type="dxa"/>
            <w:right w:w="28" w:type="dxa"/>
          </w:tblCellMar>
        </w:tblPrEx>
        <w:trPr>
          <w:cantSplit/>
          <w:trHeight w:val="351"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合计</w:t>
            </w: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1452</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98.7%</w:t>
            </w:r>
          </w:p>
        </w:tc>
        <w:tc>
          <w:tcPr>
            <w:tcW w:w="12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10.8%</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64.0</w:t>
            </w:r>
          </w:p>
        </w:tc>
      </w:tr>
      <w:tr>
        <w:tblPrEx>
          <w:tblLayout w:type="fixed"/>
          <w:tblCellMar>
            <w:top w:w="0" w:type="dxa"/>
            <w:left w:w="28" w:type="dxa"/>
            <w:bottom w:w="0" w:type="dxa"/>
            <w:right w:w="28" w:type="dxa"/>
          </w:tblCellMar>
        </w:tblPrEx>
        <w:trPr>
          <w:cantSplit/>
          <w:trHeight w:val="351" w:hRule="atLeast"/>
          <w:jc w:val="center"/>
        </w:trPr>
        <w:tc>
          <w:tcPr>
            <w:tcW w:w="20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2015年度</w:t>
            </w: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高一</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462</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99.04%</w:t>
            </w:r>
          </w:p>
        </w:tc>
        <w:tc>
          <w:tcPr>
            <w:tcW w:w="12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9.62%</w:t>
            </w: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62.3</w:t>
            </w:r>
          </w:p>
        </w:tc>
      </w:tr>
      <w:tr>
        <w:tblPrEx>
          <w:tblLayout w:type="fixed"/>
          <w:tblCellMar>
            <w:top w:w="0" w:type="dxa"/>
            <w:left w:w="28" w:type="dxa"/>
            <w:bottom w:w="0" w:type="dxa"/>
            <w:right w:w="28" w:type="dxa"/>
          </w:tblCellMar>
        </w:tblPrEx>
        <w:trPr>
          <w:cantSplit/>
          <w:trHeight w:val="351"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高二</w:t>
            </w: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438</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99.27%</w:t>
            </w:r>
          </w:p>
        </w:tc>
        <w:tc>
          <w:tcPr>
            <w:tcW w:w="12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8.96%</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61.2</w:t>
            </w:r>
          </w:p>
        </w:tc>
      </w:tr>
      <w:tr>
        <w:tblPrEx>
          <w:tblLayout w:type="fixed"/>
          <w:tblCellMar>
            <w:top w:w="0" w:type="dxa"/>
            <w:left w:w="28" w:type="dxa"/>
            <w:bottom w:w="0" w:type="dxa"/>
            <w:right w:w="28" w:type="dxa"/>
          </w:tblCellMar>
        </w:tblPrEx>
        <w:trPr>
          <w:cantSplit/>
          <w:trHeight w:val="351"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高三</w:t>
            </w: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430</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99.73%</w:t>
            </w:r>
          </w:p>
        </w:tc>
        <w:tc>
          <w:tcPr>
            <w:tcW w:w="12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9.57%</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62.3</w:t>
            </w:r>
          </w:p>
        </w:tc>
      </w:tr>
      <w:tr>
        <w:tblPrEx>
          <w:tblLayout w:type="fixed"/>
          <w:tblCellMar>
            <w:top w:w="0" w:type="dxa"/>
            <w:left w:w="28" w:type="dxa"/>
            <w:bottom w:w="0" w:type="dxa"/>
            <w:right w:w="28" w:type="dxa"/>
          </w:tblCellMar>
        </w:tblPrEx>
        <w:trPr>
          <w:cantSplit/>
          <w:trHeight w:val="351"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合计</w:t>
            </w: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1330</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99.3%</w:t>
            </w:r>
          </w:p>
        </w:tc>
        <w:tc>
          <w:tcPr>
            <w:tcW w:w="12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9.6%</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60.2</w:t>
            </w:r>
          </w:p>
        </w:tc>
      </w:tr>
      <w:tr>
        <w:tblPrEx>
          <w:tblLayout w:type="fixed"/>
          <w:tblCellMar>
            <w:top w:w="0" w:type="dxa"/>
            <w:left w:w="28" w:type="dxa"/>
            <w:bottom w:w="0" w:type="dxa"/>
            <w:right w:w="28" w:type="dxa"/>
          </w:tblCellMar>
        </w:tblPrEx>
        <w:trPr>
          <w:cantSplit/>
          <w:trHeight w:val="351" w:hRule="atLeast"/>
          <w:jc w:val="center"/>
        </w:trPr>
        <w:tc>
          <w:tcPr>
            <w:tcW w:w="20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2016年度</w:t>
            </w: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高一</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473</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99.07%</w:t>
            </w:r>
          </w:p>
        </w:tc>
        <w:tc>
          <w:tcPr>
            <w:tcW w:w="12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11.4%</w:t>
            </w: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61.4</w:t>
            </w:r>
          </w:p>
        </w:tc>
      </w:tr>
      <w:tr>
        <w:tblPrEx>
          <w:tblLayout w:type="fixed"/>
          <w:tblCellMar>
            <w:top w:w="0" w:type="dxa"/>
            <w:left w:w="28" w:type="dxa"/>
            <w:bottom w:w="0" w:type="dxa"/>
            <w:right w:w="28" w:type="dxa"/>
          </w:tblCellMar>
        </w:tblPrEx>
        <w:trPr>
          <w:cantSplit/>
          <w:trHeight w:val="351"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高二</w:t>
            </w: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457</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99.23%</w:t>
            </w:r>
          </w:p>
        </w:tc>
        <w:tc>
          <w:tcPr>
            <w:tcW w:w="12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11.9%</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63.2</w:t>
            </w:r>
          </w:p>
        </w:tc>
      </w:tr>
      <w:tr>
        <w:tblPrEx>
          <w:tblLayout w:type="fixed"/>
          <w:tblCellMar>
            <w:top w:w="0" w:type="dxa"/>
            <w:left w:w="28" w:type="dxa"/>
            <w:bottom w:w="0" w:type="dxa"/>
            <w:right w:w="28" w:type="dxa"/>
          </w:tblCellMar>
        </w:tblPrEx>
        <w:trPr>
          <w:cantSplit/>
          <w:trHeight w:val="351"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高三</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2"/>
                <w:szCs w:val="22"/>
              </w:rPr>
            </w:pPr>
            <w:r>
              <w:rPr>
                <w:rFonts w:hint="eastAsia" w:ascii="Calibri" w:hAnsi="Calibri"/>
                <w:color w:val="000000"/>
                <w:sz w:val="22"/>
                <w:szCs w:val="22"/>
              </w:rPr>
              <w:t>437</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99.48%</w:t>
            </w:r>
          </w:p>
        </w:tc>
        <w:tc>
          <w:tcPr>
            <w:tcW w:w="12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11.8%</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61.5</w:t>
            </w:r>
          </w:p>
        </w:tc>
      </w:tr>
      <w:tr>
        <w:tblPrEx>
          <w:tblLayout w:type="fixed"/>
          <w:tblCellMar>
            <w:top w:w="0" w:type="dxa"/>
            <w:left w:w="28" w:type="dxa"/>
            <w:bottom w:w="0" w:type="dxa"/>
            <w:right w:w="28" w:type="dxa"/>
          </w:tblCellMar>
        </w:tblPrEx>
        <w:trPr>
          <w:cantSplit/>
          <w:trHeight w:val="351"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合计</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2"/>
                <w:szCs w:val="22"/>
              </w:rPr>
            </w:pPr>
            <w:r>
              <w:rPr>
                <w:rFonts w:hint="eastAsia" w:ascii="Calibri" w:hAnsi="Calibri"/>
                <w:color w:val="000000"/>
                <w:sz w:val="22"/>
                <w:szCs w:val="22"/>
              </w:rPr>
              <w:t>1367</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99.3%</w:t>
            </w:r>
          </w:p>
        </w:tc>
        <w:tc>
          <w:tcPr>
            <w:tcW w:w="12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11.7%</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62.9</w:t>
            </w:r>
          </w:p>
        </w:tc>
      </w:tr>
    </w:tbl>
    <w:p>
      <w:pPr>
        <w:spacing w:line="560" w:lineRule="exact"/>
        <w:ind w:right="560"/>
        <w:rPr>
          <w:rFonts w:ascii="宋体" w:hAnsi="宋体"/>
          <w:b/>
          <w:bCs/>
          <w:szCs w:val="21"/>
        </w:rPr>
      </w:pPr>
      <w:r>
        <w:rPr>
          <w:rFonts w:hint="eastAsia" w:ascii="宋体" w:hAnsi="宋体"/>
          <w:b/>
          <w:bCs/>
          <w:sz w:val="28"/>
          <w:szCs w:val="28"/>
        </w:rPr>
        <w:t>16.省有关学业水平测试成绩统计表</w:t>
      </w:r>
    </w:p>
    <w:tbl>
      <w:tblPr>
        <w:tblStyle w:val="14"/>
        <w:tblW w:w="11244" w:type="dxa"/>
        <w:jc w:val="center"/>
        <w:tblInd w:w="0" w:type="dxa"/>
        <w:tblLayout w:type="fixed"/>
        <w:tblCellMar>
          <w:top w:w="0" w:type="dxa"/>
          <w:left w:w="108" w:type="dxa"/>
          <w:bottom w:w="0" w:type="dxa"/>
          <w:right w:w="108" w:type="dxa"/>
        </w:tblCellMar>
      </w:tblPr>
      <w:tblGrid>
        <w:gridCol w:w="636"/>
        <w:gridCol w:w="531"/>
        <w:gridCol w:w="531"/>
        <w:gridCol w:w="531"/>
        <w:gridCol w:w="636"/>
        <w:gridCol w:w="636"/>
        <w:gridCol w:w="531"/>
        <w:gridCol w:w="531"/>
        <w:gridCol w:w="531"/>
        <w:gridCol w:w="636"/>
        <w:gridCol w:w="636"/>
        <w:gridCol w:w="636"/>
        <w:gridCol w:w="531"/>
        <w:gridCol w:w="636"/>
        <w:gridCol w:w="636"/>
        <w:gridCol w:w="636"/>
        <w:gridCol w:w="636"/>
        <w:gridCol w:w="531"/>
        <w:gridCol w:w="636"/>
      </w:tblGrid>
      <w:tr>
        <w:tblPrEx>
          <w:tblLayout w:type="fixed"/>
          <w:tblCellMar>
            <w:top w:w="0" w:type="dxa"/>
            <w:left w:w="108" w:type="dxa"/>
            <w:bottom w:w="0" w:type="dxa"/>
            <w:right w:w="108" w:type="dxa"/>
          </w:tblCellMar>
        </w:tblPrEx>
        <w:trPr>
          <w:jc w:val="center"/>
        </w:trPr>
        <w:tc>
          <w:tcPr>
            <w:tcW w:w="6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届次</w:t>
            </w:r>
          </w:p>
        </w:tc>
        <w:tc>
          <w:tcPr>
            <w:tcW w:w="531"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招</w:t>
            </w:r>
          </w:p>
          <w:p>
            <w:pPr>
              <w:adjustRightInd w:val="0"/>
              <w:snapToGrid w:val="0"/>
              <w:jc w:val="center"/>
              <w:rPr>
                <w:rFonts w:ascii="宋体" w:hAnsi="宋体"/>
                <w:szCs w:val="21"/>
              </w:rPr>
            </w:pPr>
            <w:r>
              <w:rPr>
                <w:rFonts w:hint="eastAsia" w:ascii="宋体" w:hAnsi="宋体"/>
                <w:szCs w:val="21"/>
              </w:rPr>
              <w:t>生</w:t>
            </w:r>
          </w:p>
          <w:p>
            <w:pPr>
              <w:adjustRightInd w:val="0"/>
              <w:snapToGrid w:val="0"/>
              <w:jc w:val="center"/>
              <w:rPr>
                <w:rFonts w:ascii="宋体" w:hAnsi="宋体"/>
                <w:szCs w:val="21"/>
              </w:rPr>
            </w:pPr>
            <w:r>
              <w:rPr>
                <w:rFonts w:hint="eastAsia" w:ascii="宋体" w:hAnsi="宋体"/>
                <w:szCs w:val="21"/>
              </w:rPr>
              <w:t>数</w:t>
            </w:r>
          </w:p>
        </w:tc>
        <w:tc>
          <w:tcPr>
            <w:tcW w:w="2865" w:type="dxa"/>
            <w:gridSpan w:val="5"/>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物理</w:t>
            </w:r>
          </w:p>
        </w:tc>
        <w:tc>
          <w:tcPr>
            <w:tcW w:w="2970" w:type="dxa"/>
            <w:gridSpan w:val="5"/>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化学</w:t>
            </w:r>
          </w:p>
        </w:tc>
        <w:tc>
          <w:tcPr>
            <w:tcW w:w="3075" w:type="dxa"/>
            <w:gridSpan w:val="5"/>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生物</w:t>
            </w:r>
          </w:p>
        </w:tc>
        <w:tc>
          <w:tcPr>
            <w:tcW w:w="1167"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技术</w:t>
            </w:r>
          </w:p>
        </w:tc>
      </w:tr>
      <w:tr>
        <w:tblPrEx>
          <w:tblLayout w:type="fixed"/>
          <w:tblCellMar>
            <w:top w:w="0" w:type="dxa"/>
            <w:left w:w="108" w:type="dxa"/>
            <w:bottom w:w="0" w:type="dxa"/>
            <w:right w:w="108" w:type="dxa"/>
          </w:tblCellMar>
        </w:tblPrEx>
        <w:trPr>
          <w:jc w:val="center"/>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53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参考</w:t>
            </w:r>
          </w:p>
          <w:p>
            <w:pPr>
              <w:adjustRightInd w:val="0"/>
              <w:snapToGrid w:val="0"/>
              <w:jc w:val="center"/>
              <w:rPr>
                <w:rFonts w:ascii="宋体" w:hAnsi="宋体"/>
                <w:szCs w:val="21"/>
              </w:rPr>
            </w:pPr>
            <w:r>
              <w:rPr>
                <w:rFonts w:hint="eastAsia" w:ascii="宋体" w:hAnsi="宋体"/>
                <w:szCs w:val="21"/>
              </w:rPr>
              <w:t>人数</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A</w:t>
            </w:r>
          </w:p>
          <w:p>
            <w:pPr>
              <w:adjustRightInd w:val="0"/>
              <w:snapToGrid w:val="0"/>
              <w:jc w:val="center"/>
              <w:rPr>
                <w:rFonts w:ascii="宋体" w:hAnsi="宋体"/>
                <w:szCs w:val="21"/>
              </w:rPr>
            </w:pPr>
            <w:r>
              <w:rPr>
                <w:rFonts w:hint="eastAsia" w:ascii="宋体" w:hAnsi="宋体"/>
                <w:szCs w:val="21"/>
              </w:rPr>
              <w:t>级率</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B</w:t>
            </w:r>
          </w:p>
          <w:p>
            <w:pPr>
              <w:adjustRightInd w:val="0"/>
              <w:snapToGrid w:val="0"/>
              <w:jc w:val="center"/>
              <w:rPr>
                <w:rFonts w:ascii="宋体" w:hAnsi="宋体"/>
                <w:szCs w:val="21"/>
              </w:rPr>
            </w:pPr>
            <w:r>
              <w:rPr>
                <w:rFonts w:hint="eastAsia" w:ascii="宋体" w:hAnsi="宋体"/>
                <w:szCs w:val="21"/>
              </w:rPr>
              <w:t>级</w:t>
            </w:r>
          </w:p>
          <w:p>
            <w:pPr>
              <w:adjustRightInd w:val="0"/>
              <w:snapToGrid w:val="0"/>
              <w:jc w:val="center"/>
              <w:rPr>
                <w:rFonts w:ascii="宋体" w:hAnsi="宋体"/>
                <w:szCs w:val="21"/>
              </w:rPr>
            </w:pPr>
            <w:r>
              <w:rPr>
                <w:rFonts w:hint="eastAsia" w:ascii="宋体" w:hAnsi="宋体"/>
                <w:szCs w:val="21"/>
              </w:rPr>
              <w:t>率</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C</w:t>
            </w:r>
          </w:p>
          <w:p>
            <w:pPr>
              <w:adjustRightInd w:val="0"/>
              <w:snapToGrid w:val="0"/>
              <w:jc w:val="center"/>
              <w:rPr>
                <w:rFonts w:ascii="宋体" w:hAnsi="宋体"/>
                <w:szCs w:val="21"/>
              </w:rPr>
            </w:pPr>
            <w:r>
              <w:rPr>
                <w:rFonts w:hint="eastAsia" w:ascii="宋体" w:hAnsi="宋体"/>
                <w:szCs w:val="21"/>
              </w:rPr>
              <w:t>级</w:t>
            </w:r>
          </w:p>
          <w:p>
            <w:pPr>
              <w:adjustRightInd w:val="0"/>
              <w:snapToGrid w:val="0"/>
              <w:jc w:val="center"/>
              <w:rPr>
                <w:rFonts w:ascii="宋体" w:hAnsi="宋体"/>
                <w:szCs w:val="21"/>
              </w:rPr>
            </w:pPr>
            <w:r>
              <w:rPr>
                <w:rFonts w:hint="eastAsia" w:ascii="宋体" w:hAnsi="宋体"/>
                <w:szCs w:val="21"/>
              </w:rPr>
              <w:t>率</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D</w:t>
            </w:r>
          </w:p>
          <w:p>
            <w:pPr>
              <w:adjustRightInd w:val="0"/>
              <w:snapToGrid w:val="0"/>
              <w:jc w:val="center"/>
              <w:rPr>
                <w:rFonts w:ascii="宋体" w:hAnsi="宋体"/>
                <w:szCs w:val="21"/>
              </w:rPr>
            </w:pPr>
            <w:r>
              <w:rPr>
                <w:rFonts w:hint="eastAsia" w:ascii="宋体" w:hAnsi="宋体"/>
                <w:szCs w:val="21"/>
              </w:rPr>
              <w:t>级率</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参考</w:t>
            </w:r>
          </w:p>
          <w:p>
            <w:pPr>
              <w:adjustRightInd w:val="0"/>
              <w:snapToGrid w:val="0"/>
              <w:jc w:val="center"/>
              <w:rPr>
                <w:rFonts w:ascii="宋体" w:hAnsi="宋体"/>
                <w:szCs w:val="21"/>
              </w:rPr>
            </w:pPr>
            <w:r>
              <w:rPr>
                <w:rFonts w:hint="eastAsia" w:ascii="宋体" w:hAnsi="宋体"/>
                <w:szCs w:val="21"/>
              </w:rPr>
              <w:t>人数</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A</w:t>
            </w:r>
          </w:p>
          <w:p>
            <w:pPr>
              <w:adjustRightInd w:val="0"/>
              <w:snapToGrid w:val="0"/>
              <w:jc w:val="center"/>
              <w:rPr>
                <w:rFonts w:ascii="宋体" w:hAnsi="宋体"/>
                <w:szCs w:val="21"/>
              </w:rPr>
            </w:pPr>
            <w:r>
              <w:rPr>
                <w:rFonts w:hint="eastAsia" w:ascii="宋体" w:hAnsi="宋体"/>
                <w:szCs w:val="21"/>
              </w:rPr>
              <w:t>级率</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B</w:t>
            </w:r>
          </w:p>
          <w:p>
            <w:pPr>
              <w:adjustRightInd w:val="0"/>
              <w:snapToGrid w:val="0"/>
              <w:jc w:val="center"/>
              <w:rPr>
                <w:rFonts w:ascii="宋体" w:hAnsi="宋体"/>
                <w:szCs w:val="21"/>
              </w:rPr>
            </w:pPr>
            <w:r>
              <w:rPr>
                <w:rFonts w:hint="eastAsia" w:ascii="宋体" w:hAnsi="宋体"/>
                <w:szCs w:val="21"/>
              </w:rPr>
              <w:t>级</w:t>
            </w:r>
          </w:p>
          <w:p>
            <w:pPr>
              <w:adjustRightInd w:val="0"/>
              <w:snapToGrid w:val="0"/>
              <w:jc w:val="center"/>
              <w:rPr>
                <w:rFonts w:ascii="宋体" w:hAnsi="宋体"/>
                <w:szCs w:val="21"/>
              </w:rPr>
            </w:pPr>
            <w:r>
              <w:rPr>
                <w:rFonts w:hint="eastAsia" w:ascii="宋体" w:hAnsi="宋体"/>
                <w:szCs w:val="21"/>
              </w:rPr>
              <w:t>率</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C</w:t>
            </w:r>
          </w:p>
          <w:p>
            <w:pPr>
              <w:adjustRightInd w:val="0"/>
              <w:snapToGrid w:val="0"/>
              <w:jc w:val="center"/>
              <w:rPr>
                <w:rFonts w:ascii="宋体" w:hAnsi="宋体"/>
                <w:szCs w:val="21"/>
              </w:rPr>
            </w:pPr>
            <w:r>
              <w:rPr>
                <w:rFonts w:hint="eastAsia" w:ascii="宋体" w:hAnsi="宋体"/>
                <w:szCs w:val="21"/>
              </w:rPr>
              <w:t>级</w:t>
            </w:r>
          </w:p>
          <w:p>
            <w:pPr>
              <w:adjustRightInd w:val="0"/>
              <w:snapToGrid w:val="0"/>
              <w:jc w:val="center"/>
              <w:rPr>
                <w:rFonts w:ascii="宋体" w:hAnsi="宋体"/>
                <w:szCs w:val="21"/>
              </w:rPr>
            </w:pPr>
            <w:r>
              <w:rPr>
                <w:rFonts w:hint="eastAsia" w:ascii="宋体" w:hAnsi="宋体"/>
                <w:szCs w:val="21"/>
              </w:rPr>
              <w:t>率</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D</w:t>
            </w:r>
          </w:p>
          <w:p>
            <w:pPr>
              <w:adjustRightInd w:val="0"/>
              <w:snapToGrid w:val="0"/>
              <w:jc w:val="center"/>
              <w:rPr>
                <w:rFonts w:ascii="宋体" w:hAnsi="宋体"/>
                <w:szCs w:val="21"/>
              </w:rPr>
            </w:pPr>
            <w:r>
              <w:rPr>
                <w:rFonts w:hint="eastAsia" w:ascii="宋体" w:hAnsi="宋体"/>
                <w:szCs w:val="21"/>
              </w:rPr>
              <w:t>级</w:t>
            </w:r>
          </w:p>
          <w:p>
            <w:pPr>
              <w:adjustRightInd w:val="0"/>
              <w:snapToGrid w:val="0"/>
              <w:jc w:val="center"/>
              <w:rPr>
                <w:rFonts w:ascii="宋体" w:hAnsi="宋体"/>
                <w:szCs w:val="21"/>
              </w:rPr>
            </w:pPr>
            <w:r>
              <w:rPr>
                <w:rFonts w:hint="eastAsia" w:ascii="宋体" w:hAnsi="宋体"/>
                <w:szCs w:val="21"/>
              </w:rPr>
              <w:t>率</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参考</w:t>
            </w:r>
          </w:p>
          <w:p>
            <w:pPr>
              <w:adjustRightInd w:val="0"/>
              <w:snapToGrid w:val="0"/>
              <w:jc w:val="center"/>
              <w:rPr>
                <w:rFonts w:ascii="宋体" w:hAnsi="宋体"/>
                <w:szCs w:val="21"/>
              </w:rPr>
            </w:pPr>
            <w:r>
              <w:rPr>
                <w:rFonts w:hint="eastAsia" w:ascii="宋体" w:hAnsi="宋体"/>
                <w:szCs w:val="21"/>
              </w:rPr>
              <w:t>人数</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A</w:t>
            </w:r>
          </w:p>
          <w:p>
            <w:pPr>
              <w:adjustRightInd w:val="0"/>
              <w:snapToGrid w:val="0"/>
              <w:jc w:val="center"/>
              <w:rPr>
                <w:rFonts w:ascii="宋体" w:hAnsi="宋体"/>
                <w:szCs w:val="21"/>
              </w:rPr>
            </w:pPr>
            <w:r>
              <w:rPr>
                <w:rFonts w:hint="eastAsia" w:ascii="宋体" w:hAnsi="宋体"/>
                <w:szCs w:val="21"/>
              </w:rPr>
              <w:t>级</w:t>
            </w:r>
          </w:p>
          <w:p>
            <w:pPr>
              <w:adjustRightInd w:val="0"/>
              <w:snapToGrid w:val="0"/>
              <w:jc w:val="center"/>
              <w:rPr>
                <w:rFonts w:ascii="宋体" w:hAnsi="宋体"/>
                <w:szCs w:val="21"/>
              </w:rPr>
            </w:pPr>
            <w:r>
              <w:rPr>
                <w:rFonts w:hint="eastAsia" w:ascii="宋体" w:hAnsi="宋体"/>
                <w:szCs w:val="21"/>
              </w:rPr>
              <w:t>率</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B</w:t>
            </w:r>
          </w:p>
          <w:p>
            <w:pPr>
              <w:adjustRightInd w:val="0"/>
              <w:snapToGrid w:val="0"/>
              <w:jc w:val="center"/>
              <w:rPr>
                <w:rFonts w:ascii="宋体" w:hAnsi="宋体"/>
                <w:szCs w:val="21"/>
              </w:rPr>
            </w:pPr>
            <w:r>
              <w:rPr>
                <w:rFonts w:hint="eastAsia" w:ascii="宋体" w:hAnsi="宋体"/>
                <w:szCs w:val="21"/>
              </w:rPr>
              <w:t>级</w:t>
            </w:r>
          </w:p>
          <w:p>
            <w:pPr>
              <w:adjustRightInd w:val="0"/>
              <w:snapToGrid w:val="0"/>
              <w:jc w:val="center"/>
              <w:rPr>
                <w:rFonts w:ascii="宋体" w:hAnsi="宋体"/>
                <w:szCs w:val="21"/>
              </w:rPr>
            </w:pPr>
            <w:r>
              <w:rPr>
                <w:rFonts w:hint="eastAsia" w:ascii="宋体" w:hAnsi="宋体"/>
                <w:szCs w:val="21"/>
              </w:rPr>
              <w:t>率</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C</w:t>
            </w:r>
          </w:p>
          <w:p>
            <w:pPr>
              <w:adjustRightInd w:val="0"/>
              <w:snapToGrid w:val="0"/>
              <w:jc w:val="center"/>
              <w:rPr>
                <w:rFonts w:ascii="宋体" w:hAnsi="宋体"/>
                <w:szCs w:val="21"/>
              </w:rPr>
            </w:pPr>
            <w:r>
              <w:rPr>
                <w:rFonts w:hint="eastAsia" w:ascii="宋体" w:hAnsi="宋体"/>
                <w:szCs w:val="21"/>
              </w:rPr>
              <w:t>级</w:t>
            </w:r>
          </w:p>
          <w:p>
            <w:pPr>
              <w:adjustRightInd w:val="0"/>
              <w:snapToGrid w:val="0"/>
              <w:jc w:val="center"/>
              <w:rPr>
                <w:rFonts w:ascii="宋体" w:hAnsi="宋体"/>
                <w:szCs w:val="21"/>
              </w:rPr>
            </w:pPr>
            <w:r>
              <w:rPr>
                <w:rFonts w:hint="eastAsia" w:ascii="宋体" w:hAnsi="宋体"/>
                <w:szCs w:val="21"/>
              </w:rPr>
              <w:t>率</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D</w:t>
            </w:r>
          </w:p>
          <w:p>
            <w:pPr>
              <w:adjustRightInd w:val="0"/>
              <w:snapToGrid w:val="0"/>
              <w:jc w:val="center"/>
              <w:rPr>
                <w:rFonts w:ascii="宋体" w:hAnsi="宋体"/>
                <w:szCs w:val="21"/>
              </w:rPr>
            </w:pPr>
            <w:r>
              <w:rPr>
                <w:rFonts w:hint="eastAsia" w:ascii="宋体" w:hAnsi="宋体"/>
                <w:szCs w:val="21"/>
              </w:rPr>
              <w:t>级</w:t>
            </w:r>
          </w:p>
          <w:p>
            <w:pPr>
              <w:adjustRightInd w:val="0"/>
              <w:snapToGrid w:val="0"/>
              <w:jc w:val="center"/>
              <w:rPr>
                <w:rFonts w:ascii="宋体" w:hAnsi="宋体"/>
                <w:szCs w:val="21"/>
              </w:rPr>
            </w:pPr>
            <w:r>
              <w:rPr>
                <w:rFonts w:hint="eastAsia" w:ascii="宋体" w:hAnsi="宋体"/>
                <w:szCs w:val="21"/>
              </w:rPr>
              <w:t>率</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参</w:t>
            </w:r>
          </w:p>
          <w:p>
            <w:pPr>
              <w:adjustRightInd w:val="0"/>
              <w:snapToGrid w:val="0"/>
              <w:jc w:val="center"/>
              <w:rPr>
                <w:rFonts w:ascii="宋体" w:hAnsi="宋体"/>
                <w:szCs w:val="21"/>
              </w:rPr>
            </w:pPr>
            <w:r>
              <w:rPr>
                <w:rFonts w:hint="eastAsia" w:ascii="宋体" w:hAnsi="宋体"/>
                <w:szCs w:val="21"/>
              </w:rPr>
              <w:t>考</w:t>
            </w:r>
          </w:p>
          <w:p>
            <w:pPr>
              <w:adjustRightInd w:val="0"/>
              <w:snapToGrid w:val="0"/>
              <w:jc w:val="center"/>
              <w:rPr>
                <w:rFonts w:ascii="宋体" w:hAnsi="宋体"/>
                <w:szCs w:val="21"/>
              </w:rPr>
            </w:pPr>
            <w:r>
              <w:rPr>
                <w:rFonts w:hint="eastAsia" w:ascii="宋体" w:hAnsi="宋体"/>
                <w:szCs w:val="21"/>
              </w:rPr>
              <w:t>人</w:t>
            </w:r>
          </w:p>
          <w:p>
            <w:pPr>
              <w:adjustRightInd w:val="0"/>
              <w:snapToGrid w:val="0"/>
              <w:jc w:val="center"/>
              <w:rPr>
                <w:rFonts w:ascii="宋体" w:hAnsi="宋体"/>
                <w:szCs w:val="21"/>
              </w:rPr>
            </w:pPr>
            <w:r>
              <w:rPr>
                <w:rFonts w:hint="eastAsia" w:ascii="宋体" w:hAnsi="宋体"/>
                <w:szCs w:val="21"/>
              </w:rPr>
              <w:t>数</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合</w:t>
            </w:r>
          </w:p>
          <w:p>
            <w:pPr>
              <w:adjustRightInd w:val="0"/>
              <w:snapToGrid w:val="0"/>
              <w:jc w:val="center"/>
              <w:rPr>
                <w:rFonts w:ascii="宋体" w:hAnsi="宋体"/>
                <w:szCs w:val="21"/>
              </w:rPr>
            </w:pPr>
            <w:r>
              <w:rPr>
                <w:rFonts w:hint="eastAsia" w:ascii="宋体" w:hAnsi="宋体"/>
                <w:szCs w:val="21"/>
              </w:rPr>
              <w:t>格</w:t>
            </w:r>
          </w:p>
          <w:p>
            <w:pPr>
              <w:adjustRightInd w:val="0"/>
              <w:snapToGrid w:val="0"/>
              <w:jc w:val="center"/>
              <w:rPr>
                <w:rFonts w:ascii="宋体" w:hAnsi="宋体"/>
                <w:szCs w:val="21"/>
              </w:rPr>
            </w:pPr>
            <w:r>
              <w:rPr>
                <w:rFonts w:hint="eastAsia" w:ascii="宋体" w:hAnsi="宋体"/>
                <w:szCs w:val="21"/>
              </w:rPr>
              <w:t>率</w:t>
            </w:r>
          </w:p>
        </w:tc>
      </w:tr>
      <w:tr>
        <w:tblPrEx>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2016</w:t>
            </w:r>
            <w:r>
              <w:rPr>
                <w:rFonts w:ascii="宋体" w:hAnsi="宋体"/>
                <w:szCs w:val="21"/>
              </w:rPr>
              <w:t xml:space="preserve"> </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431</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396</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2.7</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46.2</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48.3</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2.7</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431</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0.5</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50.1</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42</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7.4</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380</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2.7</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62</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31.8</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3.5</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431</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98.7</w:t>
            </w:r>
          </w:p>
        </w:tc>
      </w:tr>
      <w:tr>
        <w:tblPrEx>
          <w:tblLayout w:type="fixed"/>
          <w:tblCellMar>
            <w:top w:w="0" w:type="dxa"/>
            <w:left w:w="108" w:type="dxa"/>
            <w:bottom w:w="0" w:type="dxa"/>
            <w:right w:w="108" w:type="dxa"/>
          </w:tblCellMar>
        </w:tblPrEx>
        <w:trPr>
          <w:trHeight w:val="28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2017</w:t>
            </w:r>
            <w:r>
              <w:rPr>
                <w:rFonts w:ascii="宋体" w:hAnsi="宋体"/>
                <w:szCs w:val="21"/>
              </w:rPr>
              <w:t xml:space="preserve"> </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438</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383</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5.7</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66.2</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26.1</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2</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438</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0.7</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30.7</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61.9</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6.7</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378</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36.1</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59.2</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4.7</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438</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99.8</w:t>
            </w:r>
          </w:p>
        </w:tc>
      </w:tr>
      <w:tr>
        <w:tblPrEx>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2018</w:t>
            </w:r>
            <w:r>
              <w:rPr>
                <w:rFonts w:ascii="宋体" w:hAnsi="宋体"/>
                <w:szCs w:val="21"/>
              </w:rPr>
              <w:t xml:space="preserve"> </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457</w:t>
            </w:r>
          </w:p>
        </w:tc>
        <w:tc>
          <w:tcPr>
            <w:tcW w:w="531"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szCs w:val="21"/>
              </w:rPr>
              <w:t>402</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1.0</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36.2</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61.3</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1.4</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457</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37.4</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56.3</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6.3</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387</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26.6</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58.5</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14.9</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457</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100</w:t>
            </w:r>
          </w:p>
        </w:tc>
      </w:tr>
      <w:tr>
        <w:tblPrEx>
          <w:tblLayout w:type="fixed"/>
          <w:tblCellMar>
            <w:top w:w="0" w:type="dxa"/>
            <w:left w:w="108" w:type="dxa"/>
            <w:bottom w:w="0" w:type="dxa"/>
            <w:right w:w="108" w:type="dxa"/>
          </w:tblCellMar>
        </w:tblPrEx>
        <w:trPr>
          <w:jc w:val="center"/>
        </w:trPr>
        <w:tc>
          <w:tcPr>
            <w:tcW w:w="636" w:type="dxa"/>
            <w:vMerge w:val="restart"/>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届次</w:t>
            </w:r>
          </w:p>
        </w:tc>
        <w:tc>
          <w:tcPr>
            <w:tcW w:w="531" w:type="dxa"/>
            <w:vMerge w:val="restart"/>
            <w:tcBorders>
              <w:top w:val="nil"/>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招生数</w:t>
            </w:r>
          </w:p>
        </w:tc>
        <w:tc>
          <w:tcPr>
            <w:tcW w:w="2865" w:type="dxa"/>
            <w:gridSpan w:val="5"/>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历史</w:t>
            </w:r>
          </w:p>
        </w:tc>
        <w:tc>
          <w:tcPr>
            <w:tcW w:w="2970" w:type="dxa"/>
            <w:gridSpan w:val="5"/>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地理</w:t>
            </w:r>
          </w:p>
        </w:tc>
        <w:tc>
          <w:tcPr>
            <w:tcW w:w="3075" w:type="dxa"/>
            <w:gridSpan w:val="5"/>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政治</w:t>
            </w:r>
          </w:p>
        </w:tc>
        <w:tc>
          <w:tcPr>
            <w:tcW w:w="1167"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一次性合格率</w:t>
            </w:r>
          </w:p>
        </w:tc>
      </w:tr>
      <w:tr>
        <w:tblPrEx>
          <w:tblLayout w:type="fixed"/>
          <w:tblCellMar>
            <w:top w:w="0" w:type="dxa"/>
            <w:left w:w="108" w:type="dxa"/>
            <w:bottom w:w="0" w:type="dxa"/>
            <w:right w:w="108" w:type="dxa"/>
          </w:tblCellMar>
        </w:tblPrEx>
        <w:trPr>
          <w:jc w:val="center"/>
        </w:trPr>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531"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参考</w:t>
            </w:r>
          </w:p>
          <w:p>
            <w:pPr>
              <w:adjustRightInd w:val="0"/>
              <w:snapToGrid w:val="0"/>
              <w:jc w:val="center"/>
              <w:rPr>
                <w:rFonts w:ascii="宋体" w:hAnsi="宋体"/>
                <w:szCs w:val="21"/>
              </w:rPr>
            </w:pPr>
            <w:r>
              <w:rPr>
                <w:rFonts w:hint="eastAsia" w:ascii="宋体" w:hAnsi="宋体"/>
                <w:szCs w:val="21"/>
              </w:rPr>
              <w:t>人数</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A</w:t>
            </w:r>
          </w:p>
          <w:p>
            <w:pPr>
              <w:adjustRightInd w:val="0"/>
              <w:snapToGrid w:val="0"/>
              <w:jc w:val="center"/>
              <w:rPr>
                <w:rFonts w:ascii="宋体" w:hAnsi="宋体"/>
                <w:szCs w:val="21"/>
              </w:rPr>
            </w:pPr>
            <w:r>
              <w:rPr>
                <w:rFonts w:hint="eastAsia" w:ascii="宋体" w:hAnsi="宋体"/>
                <w:szCs w:val="21"/>
              </w:rPr>
              <w:t>级率</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B</w:t>
            </w:r>
          </w:p>
          <w:p>
            <w:pPr>
              <w:adjustRightInd w:val="0"/>
              <w:snapToGrid w:val="0"/>
              <w:jc w:val="center"/>
              <w:rPr>
                <w:rFonts w:ascii="宋体" w:hAnsi="宋体"/>
                <w:szCs w:val="21"/>
              </w:rPr>
            </w:pPr>
            <w:r>
              <w:rPr>
                <w:rFonts w:hint="eastAsia" w:ascii="宋体" w:hAnsi="宋体"/>
                <w:szCs w:val="21"/>
              </w:rPr>
              <w:t>级</w:t>
            </w:r>
          </w:p>
          <w:p>
            <w:pPr>
              <w:adjustRightInd w:val="0"/>
              <w:snapToGrid w:val="0"/>
              <w:jc w:val="center"/>
              <w:rPr>
                <w:rFonts w:ascii="宋体" w:hAnsi="宋体"/>
                <w:szCs w:val="21"/>
              </w:rPr>
            </w:pPr>
            <w:r>
              <w:rPr>
                <w:rFonts w:hint="eastAsia" w:ascii="宋体" w:hAnsi="宋体"/>
                <w:szCs w:val="21"/>
              </w:rPr>
              <w:t>率</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C</w:t>
            </w:r>
          </w:p>
          <w:p>
            <w:pPr>
              <w:adjustRightInd w:val="0"/>
              <w:snapToGrid w:val="0"/>
              <w:jc w:val="center"/>
              <w:rPr>
                <w:rFonts w:ascii="宋体" w:hAnsi="宋体"/>
                <w:szCs w:val="21"/>
              </w:rPr>
            </w:pPr>
            <w:r>
              <w:rPr>
                <w:rFonts w:hint="eastAsia" w:ascii="宋体" w:hAnsi="宋体"/>
                <w:szCs w:val="21"/>
              </w:rPr>
              <w:t>级</w:t>
            </w:r>
          </w:p>
          <w:p>
            <w:pPr>
              <w:adjustRightInd w:val="0"/>
              <w:snapToGrid w:val="0"/>
              <w:jc w:val="center"/>
              <w:rPr>
                <w:rFonts w:ascii="宋体" w:hAnsi="宋体"/>
                <w:szCs w:val="21"/>
              </w:rPr>
            </w:pPr>
            <w:r>
              <w:rPr>
                <w:rFonts w:hint="eastAsia" w:ascii="宋体" w:hAnsi="宋体"/>
                <w:szCs w:val="21"/>
              </w:rPr>
              <w:t>率</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D</w:t>
            </w:r>
          </w:p>
          <w:p>
            <w:pPr>
              <w:adjustRightInd w:val="0"/>
              <w:snapToGrid w:val="0"/>
              <w:jc w:val="center"/>
              <w:rPr>
                <w:rFonts w:ascii="宋体" w:hAnsi="宋体"/>
                <w:szCs w:val="21"/>
              </w:rPr>
            </w:pPr>
            <w:r>
              <w:rPr>
                <w:rFonts w:hint="eastAsia" w:ascii="宋体" w:hAnsi="宋体"/>
                <w:szCs w:val="21"/>
              </w:rPr>
              <w:t>级率</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参考</w:t>
            </w:r>
          </w:p>
          <w:p>
            <w:pPr>
              <w:adjustRightInd w:val="0"/>
              <w:snapToGrid w:val="0"/>
              <w:jc w:val="center"/>
              <w:rPr>
                <w:rFonts w:ascii="宋体" w:hAnsi="宋体"/>
                <w:szCs w:val="21"/>
              </w:rPr>
            </w:pPr>
            <w:r>
              <w:rPr>
                <w:rFonts w:hint="eastAsia" w:ascii="宋体" w:hAnsi="宋体"/>
                <w:szCs w:val="21"/>
              </w:rPr>
              <w:t>人数</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A</w:t>
            </w:r>
          </w:p>
          <w:p>
            <w:pPr>
              <w:adjustRightInd w:val="0"/>
              <w:snapToGrid w:val="0"/>
              <w:jc w:val="center"/>
              <w:rPr>
                <w:rFonts w:ascii="宋体" w:hAnsi="宋体"/>
                <w:szCs w:val="21"/>
              </w:rPr>
            </w:pPr>
            <w:r>
              <w:rPr>
                <w:rFonts w:hint="eastAsia" w:ascii="宋体" w:hAnsi="宋体"/>
                <w:szCs w:val="21"/>
              </w:rPr>
              <w:t>级率</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B</w:t>
            </w:r>
          </w:p>
          <w:p>
            <w:pPr>
              <w:adjustRightInd w:val="0"/>
              <w:snapToGrid w:val="0"/>
              <w:jc w:val="center"/>
              <w:rPr>
                <w:rFonts w:ascii="宋体" w:hAnsi="宋体"/>
                <w:szCs w:val="21"/>
              </w:rPr>
            </w:pPr>
            <w:r>
              <w:rPr>
                <w:rFonts w:hint="eastAsia" w:ascii="宋体" w:hAnsi="宋体"/>
                <w:szCs w:val="21"/>
              </w:rPr>
              <w:t>级</w:t>
            </w:r>
          </w:p>
          <w:p>
            <w:pPr>
              <w:adjustRightInd w:val="0"/>
              <w:snapToGrid w:val="0"/>
              <w:jc w:val="center"/>
              <w:rPr>
                <w:rFonts w:ascii="宋体" w:hAnsi="宋体"/>
                <w:szCs w:val="21"/>
              </w:rPr>
            </w:pPr>
            <w:r>
              <w:rPr>
                <w:rFonts w:hint="eastAsia" w:ascii="宋体" w:hAnsi="宋体"/>
                <w:szCs w:val="21"/>
              </w:rPr>
              <w:t>率</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C</w:t>
            </w:r>
          </w:p>
          <w:p>
            <w:pPr>
              <w:adjustRightInd w:val="0"/>
              <w:snapToGrid w:val="0"/>
              <w:jc w:val="center"/>
              <w:rPr>
                <w:rFonts w:ascii="宋体" w:hAnsi="宋体"/>
                <w:szCs w:val="21"/>
              </w:rPr>
            </w:pPr>
            <w:r>
              <w:rPr>
                <w:rFonts w:hint="eastAsia" w:ascii="宋体" w:hAnsi="宋体"/>
                <w:szCs w:val="21"/>
              </w:rPr>
              <w:t>级</w:t>
            </w:r>
          </w:p>
          <w:p>
            <w:pPr>
              <w:adjustRightInd w:val="0"/>
              <w:snapToGrid w:val="0"/>
              <w:jc w:val="center"/>
              <w:rPr>
                <w:rFonts w:ascii="宋体" w:hAnsi="宋体"/>
                <w:szCs w:val="21"/>
              </w:rPr>
            </w:pPr>
            <w:r>
              <w:rPr>
                <w:rFonts w:hint="eastAsia" w:ascii="宋体" w:hAnsi="宋体"/>
                <w:szCs w:val="21"/>
              </w:rPr>
              <w:t>率</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D</w:t>
            </w:r>
          </w:p>
          <w:p>
            <w:pPr>
              <w:adjustRightInd w:val="0"/>
              <w:snapToGrid w:val="0"/>
              <w:jc w:val="center"/>
              <w:rPr>
                <w:rFonts w:ascii="宋体" w:hAnsi="宋体"/>
                <w:szCs w:val="21"/>
              </w:rPr>
            </w:pPr>
            <w:r>
              <w:rPr>
                <w:rFonts w:hint="eastAsia" w:ascii="宋体" w:hAnsi="宋体"/>
                <w:szCs w:val="21"/>
              </w:rPr>
              <w:t>级</w:t>
            </w:r>
          </w:p>
          <w:p>
            <w:pPr>
              <w:adjustRightInd w:val="0"/>
              <w:snapToGrid w:val="0"/>
              <w:jc w:val="center"/>
              <w:rPr>
                <w:rFonts w:ascii="宋体" w:hAnsi="宋体"/>
                <w:szCs w:val="21"/>
              </w:rPr>
            </w:pPr>
            <w:r>
              <w:rPr>
                <w:rFonts w:hint="eastAsia" w:ascii="宋体" w:hAnsi="宋体"/>
                <w:szCs w:val="21"/>
              </w:rPr>
              <w:t>率</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参考</w:t>
            </w:r>
          </w:p>
          <w:p>
            <w:pPr>
              <w:adjustRightInd w:val="0"/>
              <w:snapToGrid w:val="0"/>
              <w:jc w:val="center"/>
              <w:rPr>
                <w:rFonts w:ascii="宋体" w:hAnsi="宋体"/>
                <w:szCs w:val="21"/>
              </w:rPr>
            </w:pPr>
            <w:r>
              <w:rPr>
                <w:rFonts w:hint="eastAsia" w:ascii="宋体" w:hAnsi="宋体"/>
                <w:szCs w:val="21"/>
              </w:rPr>
              <w:t>人数</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A</w:t>
            </w:r>
          </w:p>
          <w:p>
            <w:pPr>
              <w:adjustRightInd w:val="0"/>
              <w:snapToGrid w:val="0"/>
              <w:jc w:val="center"/>
              <w:rPr>
                <w:rFonts w:ascii="宋体" w:hAnsi="宋体"/>
                <w:szCs w:val="21"/>
              </w:rPr>
            </w:pPr>
            <w:r>
              <w:rPr>
                <w:rFonts w:hint="eastAsia" w:ascii="宋体" w:hAnsi="宋体"/>
                <w:szCs w:val="21"/>
              </w:rPr>
              <w:t>级</w:t>
            </w:r>
          </w:p>
          <w:p>
            <w:pPr>
              <w:adjustRightInd w:val="0"/>
              <w:snapToGrid w:val="0"/>
              <w:jc w:val="center"/>
              <w:rPr>
                <w:rFonts w:ascii="宋体" w:hAnsi="宋体"/>
                <w:szCs w:val="21"/>
              </w:rPr>
            </w:pPr>
            <w:r>
              <w:rPr>
                <w:rFonts w:hint="eastAsia" w:ascii="宋体" w:hAnsi="宋体"/>
                <w:szCs w:val="21"/>
              </w:rPr>
              <w:t>率</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B</w:t>
            </w:r>
          </w:p>
          <w:p>
            <w:pPr>
              <w:adjustRightInd w:val="0"/>
              <w:snapToGrid w:val="0"/>
              <w:jc w:val="center"/>
              <w:rPr>
                <w:rFonts w:ascii="宋体" w:hAnsi="宋体"/>
                <w:szCs w:val="21"/>
              </w:rPr>
            </w:pPr>
            <w:r>
              <w:rPr>
                <w:rFonts w:hint="eastAsia" w:ascii="宋体" w:hAnsi="宋体"/>
                <w:szCs w:val="21"/>
              </w:rPr>
              <w:t>级</w:t>
            </w:r>
          </w:p>
          <w:p>
            <w:pPr>
              <w:adjustRightInd w:val="0"/>
              <w:snapToGrid w:val="0"/>
              <w:jc w:val="center"/>
              <w:rPr>
                <w:rFonts w:ascii="宋体" w:hAnsi="宋体"/>
                <w:szCs w:val="21"/>
              </w:rPr>
            </w:pPr>
            <w:r>
              <w:rPr>
                <w:rFonts w:hint="eastAsia" w:ascii="宋体" w:hAnsi="宋体"/>
                <w:szCs w:val="21"/>
              </w:rPr>
              <w:t>率</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C</w:t>
            </w:r>
          </w:p>
          <w:p>
            <w:pPr>
              <w:adjustRightInd w:val="0"/>
              <w:snapToGrid w:val="0"/>
              <w:jc w:val="center"/>
              <w:rPr>
                <w:rFonts w:ascii="宋体" w:hAnsi="宋体"/>
                <w:szCs w:val="21"/>
              </w:rPr>
            </w:pPr>
            <w:r>
              <w:rPr>
                <w:rFonts w:hint="eastAsia" w:ascii="宋体" w:hAnsi="宋体"/>
                <w:szCs w:val="21"/>
              </w:rPr>
              <w:t>级</w:t>
            </w:r>
          </w:p>
          <w:p>
            <w:pPr>
              <w:adjustRightInd w:val="0"/>
              <w:snapToGrid w:val="0"/>
              <w:jc w:val="center"/>
              <w:rPr>
                <w:rFonts w:ascii="宋体" w:hAnsi="宋体"/>
                <w:szCs w:val="21"/>
              </w:rPr>
            </w:pPr>
            <w:r>
              <w:rPr>
                <w:rFonts w:hint="eastAsia" w:ascii="宋体" w:hAnsi="宋体"/>
                <w:szCs w:val="21"/>
              </w:rPr>
              <w:t>率</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D</w:t>
            </w:r>
          </w:p>
          <w:p>
            <w:pPr>
              <w:adjustRightInd w:val="0"/>
              <w:snapToGrid w:val="0"/>
              <w:jc w:val="center"/>
              <w:rPr>
                <w:rFonts w:ascii="宋体" w:hAnsi="宋体"/>
                <w:szCs w:val="21"/>
              </w:rPr>
            </w:pPr>
            <w:r>
              <w:rPr>
                <w:rFonts w:hint="eastAsia" w:ascii="宋体" w:hAnsi="宋体"/>
                <w:szCs w:val="21"/>
              </w:rPr>
              <w:t>级</w:t>
            </w:r>
          </w:p>
          <w:p>
            <w:pPr>
              <w:adjustRightInd w:val="0"/>
              <w:snapToGrid w:val="0"/>
              <w:jc w:val="center"/>
              <w:rPr>
                <w:rFonts w:ascii="宋体" w:hAnsi="宋体"/>
                <w:szCs w:val="21"/>
              </w:rPr>
            </w:pPr>
            <w:r>
              <w:rPr>
                <w:rFonts w:hint="eastAsia" w:ascii="宋体" w:hAnsi="宋体"/>
                <w:szCs w:val="21"/>
              </w:rPr>
              <w:t>率</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考</w:t>
            </w:r>
          </w:p>
          <w:p>
            <w:pPr>
              <w:adjustRightInd w:val="0"/>
              <w:snapToGrid w:val="0"/>
              <w:jc w:val="center"/>
              <w:rPr>
                <w:rFonts w:ascii="宋体" w:hAnsi="宋体"/>
                <w:szCs w:val="21"/>
              </w:rPr>
            </w:pPr>
            <w:r>
              <w:rPr>
                <w:rFonts w:hint="eastAsia" w:ascii="宋体" w:hAnsi="宋体"/>
                <w:szCs w:val="21"/>
              </w:rPr>
              <w:t>生</w:t>
            </w:r>
          </w:p>
          <w:p>
            <w:pPr>
              <w:adjustRightInd w:val="0"/>
              <w:snapToGrid w:val="0"/>
              <w:jc w:val="center"/>
              <w:rPr>
                <w:rFonts w:ascii="宋体" w:hAnsi="宋体"/>
                <w:szCs w:val="21"/>
              </w:rPr>
            </w:pPr>
            <w:r>
              <w:rPr>
                <w:rFonts w:hint="eastAsia" w:ascii="宋体" w:hAnsi="宋体"/>
                <w:szCs w:val="21"/>
              </w:rPr>
              <w:t>总</w:t>
            </w:r>
          </w:p>
          <w:p>
            <w:pPr>
              <w:adjustRightInd w:val="0"/>
              <w:snapToGrid w:val="0"/>
              <w:jc w:val="center"/>
              <w:rPr>
                <w:rFonts w:ascii="宋体" w:hAnsi="宋体"/>
                <w:szCs w:val="21"/>
              </w:rPr>
            </w:pPr>
            <w:r>
              <w:rPr>
                <w:rFonts w:hint="eastAsia" w:ascii="宋体" w:hAnsi="宋体"/>
                <w:szCs w:val="21"/>
              </w:rPr>
              <w:t>数</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合</w:t>
            </w:r>
          </w:p>
          <w:p>
            <w:pPr>
              <w:adjustRightInd w:val="0"/>
              <w:snapToGrid w:val="0"/>
              <w:jc w:val="center"/>
              <w:rPr>
                <w:rFonts w:ascii="宋体" w:hAnsi="宋体"/>
                <w:szCs w:val="21"/>
              </w:rPr>
            </w:pPr>
            <w:r>
              <w:rPr>
                <w:rFonts w:hint="eastAsia" w:ascii="宋体" w:hAnsi="宋体"/>
                <w:szCs w:val="21"/>
              </w:rPr>
              <w:t>格</w:t>
            </w:r>
          </w:p>
          <w:p>
            <w:pPr>
              <w:adjustRightInd w:val="0"/>
              <w:snapToGrid w:val="0"/>
              <w:jc w:val="center"/>
              <w:rPr>
                <w:rFonts w:ascii="宋体" w:hAnsi="宋体"/>
                <w:szCs w:val="21"/>
              </w:rPr>
            </w:pPr>
            <w:r>
              <w:rPr>
                <w:rFonts w:hint="eastAsia" w:ascii="宋体" w:hAnsi="宋体"/>
                <w:szCs w:val="21"/>
              </w:rPr>
              <w:t>率</w:t>
            </w:r>
          </w:p>
        </w:tc>
      </w:tr>
      <w:tr>
        <w:tblPrEx>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2016</w:t>
            </w:r>
            <w:r>
              <w:rPr>
                <w:rFonts w:ascii="宋体" w:hAnsi="宋体"/>
                <w:szCs w:val="21"/>
              </w:rPr>
              <w:t xml:space="preserve"> </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431</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340</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7.7</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49.5</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38.4</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4.4</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386</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9.3</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68.1</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22.6</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335</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11.3</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77.3</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11.3</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431</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98.2</w:t>
            </w:r>
          </w:p>
        </w:tc>
      </w:tr>
      <w:tr>
        <w:tblPrEx>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2017</w:t>
            </w:r>
            <w:r>
              <w:rPr>
                <w:rFonts w:ascii="宋体" w:hAnsi="宋体"/>
                <w:szCs w:val="21"/>
              </w:rPr>
              <w:t xml:space="preserve"> </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438</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360</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2.2</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42.0</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46.2</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9.6</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392</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1.3</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50.5</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47.5</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0.7</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349</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18.6</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74.2</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7.2</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438</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99.5</w:t>
            </w:r>
          </w:p>
        </w:tc>
      </w:tr>
      <w:tr>
        <w:tblPrEx>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2018</w:t>
            </w:r>
            <w:r>
              <w:rPr>
                <w:rFonts w:ascii="宋体" w:hAnsi="宋体"/>
                <w:szCs w:val="21"/>
              </w:rPr>
              <w:t xml:space="preserve"> </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457</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382</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3.8</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59.9</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33.3</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2.9</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403</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32.6</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57.2</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10.2</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340</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2.1</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55.5</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42.2</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0.2</w:t>
            </w:r>
          </w:p>
        </w:tc>
        <w:tc>
          <w:tcPr>
            <w:tcW w:w="5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457</w:t>
            </w:r>
          </w:p>
        </w:tc>
        <w:tc>
          <w:tcPr>
            <w:tcW w:w="63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96.3</w:t>
            </w:r>
          </w:p>
        </w:tc>
      </w:tr>
    </w:tbl>
    <w:p>
      <w:pPr>
        <w:adjustRightInd w:val="0"/>
        <w:snapToGrid w:val="0"/>
        <w:rPr>
          <w:rFonts w:ascii="宋体" w:hAnsi="宋体"/>
          <w:szCs w:val="21"/>
        </w:rPr>
      </w:pPr>
      <w:r>
        <w:rPr>
          <w:rFonts w:hint="eastAsia" w:ascii="宋体" w:hAnsi="宋体"/>
          <w:szCs w:val="21"/>
        </w:rPr>
        <w:t>注：各科目内的等级率不重复计算，即B级率的统计不含获得A级的学生数、C级率的统计不含获得A和B级的学生数。此表随省高考方案变化及时进行调整。</w:t>
      </w:r>
    </w:p>
    <w:p>
      <w:pPr>
        <w:spacing w:line="560" w:lineRule="exact"/>
        <w:ind w:right="560"/>
        <w:rPr>
          <w:rFonts w:ascii="宋体"/>
          <w:b/>
          <w:bCs/>
          <w:sz w:val="28"/>
          <w:szCs w:val="28"/>
        </w:rPr>
      </w:pPr>
      <w:r>
        <w:rPr>
          <w:rFonts w:hint="eastAsia" w:ascii="宋体"/>
          <w:b/>
          <w:bCs/>
          <w:sz w:val="28"/>
          <w:szCs w:val="28"/>
        </w:rPr>
        <w:t>17、毕业生去向情况表</w:t>
      </w:r>
    </w:p>
    <w:tbl>
      <w:tblPr>
        <w:tblStyle w:val="14"/>
        <w:tblW w:w="9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2"/>
        <w:gridCol w:w="810"/>
        <w:gridCol w:w="788"/>
        <w:gridCol w:w="788"/>
        <w:gridCol w:w="590"/>
        <w:gridCol w:w="590"/>
        <w:gridCol w:w="590"/>
        <w:gridCol w:w="590"/>
        <w:gridCol w:w="590"/>
        <w:gridCol w:w="787"/>
        <w:gridCol w:w="787"/>
        <w:gridCol w:w="590"/>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46" w:hRule="atLeast"/>
          <w:jc w:val="center"/>
        </w:trPr>
        <w:tc>
          <w:tcPr>
            <w:tcW w:w="1072" w:type="dxa"/>
            <w:vAlign w:val="center"/>
          </w:tcPr>
          <w:p>
            <w:pPr>
              <w:adjustRightInd w:val="0"/>
              <w:snapToGrid w:val="0"/>
              <w:jc w:val="center"/>
              <w:rPr>
                <w:rFonts w:ascii="宋体"/>
                <w:szCs w:val="21"/>
              </w:rPr>
            </w:pPr>
            <w:r>
              <w:rPr>
                <w:rFonts w:hint="eastAsia" w:ascii="宋体"/>
                <w:szCs w:val="21"/>
              </w:rPr>
              <w:t>届次</w:t>
            </w:r>
          </w:p>
        </w:tc>
        <w:tc>
          <w:tcPr>
            <w:tcW w:w="810" w:type="dxa"/>
            <w:vAlign w:val="center"/>
          </w:tcPr>
          <w:p>
            <w:pPr>
              <w:adjustRightInd w:val="0"/>
              <w:snapToGrid w:val="0"/>
              <w:jc w:val="center"/>
              <w:rPr>
                <w:rFonts w:ascii="宋体"/>
                <w:szCs w:val="21"/>
              </w:rPr>
            </w:pPr>
            <w:r>
              <w:rPr>
                <w:rFonts w:hint="eastAsia" w:ascii="宋体"/>
                <w:szCs w:val="21"/>
              </w:rPr>
              <w:t>高一</w:t>
            </w:r>
          </w:p>
          <w:p>
            <w:pPr>
              <w:adjustRightInd w:val="0"/>
              <w:snapToGrid w:val="0"/>
              <w:jc w:val="center"/>
              <w:rPr>
                <w:rFonts w:ascii="宋体"/>
                <w:szCs w:val="21"/>
              </w:rPr>
            </w:pPr>
            <w:r>
              <w:rPr>
                <w:rFonts w:hint="eastAsia" w:ascii="宋体"/>
                <w:szCs w:val="21"/>
              </w:rPr>
              <w:t>招生数</w:t>
            </w:r>
          </w:p>
        </w:tc>
        <w:tc>
          <w:tcPr>
            <w:tcW w:w="788" w:type="dxa"/>
            <w:vAlign w:val="center"/>
          </w:tcPr>
          <w:p>
            <w:pPr>
              <w:adjustRightInd w:val="0"/>
              <w:snapToGrid w:val="0"/>
              <w:jc w:val="center"/>
              <w:rPr>
                <w:rFonts w:ascii="宋体"/>
                <w:szCs w:val="21"/>
              </w:rPr>
            </w:pPr>
            <w:r>
              <w:rPr>
                <w:rFonts w:hint="eastAsia" w:ascii="宋体"/>
                <w:szCs w:val="21"/>
              </w:rPr>
              <w:t>学</w:t>
            </w:r>
          </w:p>
          <w:p>
            <w:pPr>
              <w:adjustRightInd w:val="0"/>
              <w:snapToGrid w:val="0"/>
              <w:jc w:val="center"/>
              <w:rPr>
                <w:rFonts w:ascii="宋体"/>
                <w:szCs w:val="21"/>
              </w:rPr>
            </w:pPr>
            <w:r>
              <w:rPr>
                <w:rFonts w:hint="eastAsia" w:ascii="宋体"/>
                <w:szCs w:val="21"/>
              </w:rPr>
              <w:t>籍</w:t>
            </w:r>
          </w:p>
          <w:p>
            <w:pPr>
              <w:adjustRightInd w:val="0"/>
              <w:snapToGrid w:val="0"/>
              <w:jc w:val="center"/>
              <w:rPr>
                <w:rFonts w:ascii="宋体"/>
                <w:szCs w:val="21"/>
              </w:rPr>
            </w:pPr>
            <w:r>
              <w:rPr>
                <w:rFonts w:hint="eastAsia" w:ascii="宋体"/>
                <w:szCs w:val="21"/>
              </w:rPr>
              <w:t>数</w:t>
            </w:r>
          </w:p>
        </w:tc>
        <w:tc>
          <w:tcPr>
            <w:tcW w:w="788" w:type="dxa"/>
            <w:vAlign w:val="center"/>
          </w:tcPr>
          <w:p>
            <w:pPr>
              <w:adjustRightInd w:val="0"/>
              <w:snapToGrid w:val="0"/>
              <w:jc w:val="center"/>
              <w:rPr>
                <w:rFonts w:ascii="宋体"/>
                <w:szCs w:val="21"/>
              </w:rPr>
            </w:pPr>
            <w:r>
              <w:rPr>
                <w:rFonts w:hint="eastAsia" w:ascii="宋体"/>
                <w:szCs w:val="21"/>
              </w:rPr>
              <w:t>实际</w:t>
            </w:r>
          </w:p>
          <w:p>
            <w:pPr>
              <w:adjustRightInd w:val="0"/>
              <w:snapToGrid w:val="0"/>
              <w:jc w:val="center"/>
              <w:rPr>
                <w:rFonts w:ascii="宋体"/>
                <w:szCs w:val="21"/>
              </w:rPr>
            </w:pPr>
            <w:r>
              <w:rPr>
                <w:rFonts w:hint="eastAsia" w:ascii="宋体"/>
                <w:szCs w:val="21"/>
              </w:rPr>
              <w:t>在校</w:t>
            </w:r>
          </w:p>
          <w:p>
            <w:pPr>
              <w:adjustRightInd w:val="0"/>
              <w:snapToGrid w:val="0"/>
              <w:jc w:val="center"/>
              <w:rPr>
                <w:rFonts w:ascii="宋体"/>
                <w:szCs w:val="21"/>
              </w:rPr>
            </w:pPr>
            <w:r>
              <w:rPr>
                <w:rFonts w:hint="eastAsia" w:ascii="宋体"/>
                <w:szCs w:val="21"/>
              </w:rPr>
              <w:t>生数</w:t>
            </w:r>
          </w:p>
        </w:tc>
        <w:tc>
          <w:tcPr>
            <w:tcW w:w="590" w:type="dxa"/>
            <w:vAlign w:val="center"/>
          </w:tcPr>
          <w:p>
            <w:pPr>
              <w:adjustRightInd w:val="0"/>
              <w:snapToGrid w:val="0"/>
              <w:jc w:val="center"/>
              <w:rPr>
                <w:rFonts w:ascii="宋体"/>
                <w:szCs w:val="21"/>
              </w:rPr>
            </w:pPr>
            <w:r>
              <w:rPr>
                <w:rFonts w:hint="eastAsia" w:ascii="宋体"/>
                <w:szCs w:val="21"/>
              </w:rPr>
              <w:t>考前</w:t>
            </w:r>
          </w:p>
          <w:p>
            <w:pPr>
              <w:adjustRightInd w:val="0"/>
              <w:snapToGrid w:val="0"/>
              <w:jc w:val="center"/>
              <w:rPr>
                <w:rFonts w:ascii="宋体"/>
                <w:szCs w:val="21"/>
              </w:rPr>
            </w:pPr>
            <w:r>
              <w:rPr>
                <w:rFonts w:hint="eastAsia" w:ascii="宋体"/>
                <w:szCs w:val="21"/>
              </w:rPr>
              <w:t>出国</w:t>
            </w:r>
          </w:p>
        </w:tc>
        <w:tc>
          <w:tcPr>
            <w:tcW w:w="590" w:type="dxa"/>
            <w:vAlign w:val="center"/>
          </w:tcPr>
          <w:p>
            <w:pPr>
              <w:widowControl/>
              <w:adjustRightInd w:val="0"/>
              <w:snapToGrid w:val="0"/>
              <w:jc w:val="center"/>
              <w:rPr>
                <w:rFonts w:ascii="宋体"/>
                <w:szCs w:val="21"/>
              </w:rPr>
            </w:pPr>
            <w:r>
              <w:rPr>
                <w:rFonts w:hint="eastAsia" w:ascii="宋体"/>
                <w:szCs w:val="21"/>
              </w:rPr>
              <w:t>招</w:t>
            </w:r>
          </w:p>
          <w:p>
            <w:pPr>
              <w:widowControl/>
              <w:adjustRightInd w:val="0"/>
              <w:snapToGrid w:val="0"/>
              <w:jc w:val="center"/>
              <w:rPr>
                <w:rFonts w:ascii="宋体"/>
                <w:szCs w:val="21"/>
              </w:rPr>
            </w:pPr>
            <w:r>
              <w:rPr>
                <w:rFonts w:hint="eastAsia" w:ascii="宋体"/>
                <w:szCs w:val="21"/>
              </w:rPr>
              <w:t>飞</w:t>
            </w:r>
          </w:p>
        </w:tc>
        <w:tc>
          <w:tcPr>
            <w:tcW w:w="590" w:type="dxa"/>
            <w:vAlign w:val="center"/>
          </w:tcPr>
          <w:p>
            <w:pPr>
              <w:adjustRightInd w:val="0"/>
              <w:snapToGrid w:val="0"/>
              <w:jc w:val="center"/>
              <w:rPr>
                <w:rFonts w:ascii="宋体"/>
                <w:szCs w:val="21"/>
              </w:rPr>
            </w:pPr>
            <w:r>
              <w:rPr>
                <w:rFonts w:hint="eastAsia" w:ascii="宋体"/>
                <w:szCs w:val="21"/>
              </w:rPr>
              <w:t>参</w:t>
            </w:r>
          </w:p>
          <w:p>
            <w:pPr>
              <w:adjustRightInd w:val="0"/>
              <w:snapToGrid w:val="0"/>
              <w:jc w:val="center"/>
              <w:rPr>
                <w:rFonts w:ascii="宋体"/>
                <w:szCs w:val="21"/>
              </w:rPr>
            </w:pPr>
            <w:r>
              <w:rPr>
                <w:rFonts w:hint="eastAsia" w:ascii="宋体"/>
                <w:szCs w:val="21"/>
              </w:rPr>
              <w:t>军</w:t>
            </w:r>
          </w:p>
        </w:tc>
        <w:tc>
          <w:tcPr>
            <w:tcW w:w="590" w:type="dxa"/>
            <w:vAlign w:val="center"/>
          </w:tcPr>
          <w:p>
            <w:pPr>
              <w:adjustRightInd w:val="0"/>
              <w:snapToGrid w:val="0"/>
              <w:jc w:val="center"/>
              <w:rPr>
                <w:rFonts w:ascii="宋体"/>
                <w:szCs w:val="21"/>
              </w:rPr>
            </w:pPr>
            <w:r>
              <w:rPr>
                <w:rFonts w:hint="eastAsia" w:ascii="宋体"/>
                <w:szCs w:val="21"/>
              </w:rPr>
              <w:t>自主</w:t>
            </w:r>
          </w:p>
          <w:p>
            <w:pPr>
              <w:adjustRightInd w:val="0"/>
              <w:snapToGrid w:val="0"/>
              <w:jc w:val="center"/>
              <w:rPr>
                <w:rFonts w:ascii="宋体"/>
                <w:szCs w:val="21"/>
              </w:rPr>
            </w:pPr>
            <w:r>
              <w:rPr>
                <w:rFonts w:hint="eastAsia" w:ascii="宋体"/>
                <w:szCs w:val="21"/>
              </w:rPr>
              <w:t>招生</w:t>
            </w:r>
          </w:p>
          <w:p>
            <w:pPr>
              <w:adjustRightInd w:val="0"/>
              <w:snapToGrid w:val="0"/>
              <w:jc w:val="center"/>
              <w:rPr>
                <w:rFonts w:ascii="宋体"/>
                <w:szCs w:val="21"/>
              </w:rPr>
            </w:pPr>
            <w:r>
              <w:rPr>
                <w:rFonts w:hint="eastAsia" w:ascii="宋体"/>
                <w:szCs w:val="21"/>
              </w:rPr>
              <w:t>录取</w:t>
            </w:r>
          </w:p>
        </w:tc>
        <w:tc>
          <w:tcPr>
            <w:tcW w:w="590" w:type="dxa"/>
            <w:vAlign w:val="center"/>
          </w:tcPr>
          <w:p>
            <w:pPr>
              <w:adjustRightInd w:val="0"/>
              <w:snapToGrid w:val="0"/>
              <w:jc w:val="center"/>
              <w:rPr>
                <w:rFonts w:ascii="宋体"/>
                <w:szCs w:val="21"/>
              </w:rPr>
            </w:pPr>
            <w:r>
              <w:rPr>
                <w:rFonts w:hint="eastAsia" w:ascii="宋体"/>
                <w:szCs w:val="21"/>
              </w:rPr>
              <w:t>参加</w:t>
            </w:r>
          </w:p>
          <w:p>
            <w:pPr>
              <w:adjustRightInd w:val="0"/>
              <w:snapToGrid w:val="0"/>
              <w:jc w:val="center"/>
              <w:rPr>
                <w:rFonts w:ascii="宋体"/>
                <w:szCs w:val="21"/>
              </w:rPr>
            </w:pPr>
            <w:r>
              <w:rPr>
                <w:rFonts w:hint="eastAsia" w:ascii="宋体"/>
                <w:szCs w:val="21"/>
              </w:rPr>
              <w:t>高考</w:t>
            </w:r>
          </w:p>
          <w:p>
            <w:pPr>
              <w:adjustRightInd w:val="0"/>
              <w:snapToGrid w:val="0"/>
              <w:jc w:val="center"/>
              <w:rPr>
                <w:rFonts w:ascii="宋体"/>
                <w:szCs w:val="21"/>
              </w:rPr>
            </w:pPr>
            <w:r>
              <w:rPr>
                <w:rFonts w:hint="eastAsia" w:ascii="宋体"/>
                <w:szCs w:val="21"/>
              </w:rPr>
              <w:t>人数</w:t>
            </w:r>
          </w:p>
        </w:tc>
        <w:tc>
          <w:tcPr>
            <w:tcW w:w="787" w:type="dxa"/>
            <w:vAlign w:val="center"/>
          </w:tcPr>
          <w:p>
            <w:pPr>
              <w:adjustRightInd w:val="0"/>
              <w:snapToGrid w:val="0"/>
              <w:jc w:val="center"/>
              <w:rPr>
                <w:rFonts w:ascii="宋体"/>
                <w:szCs w:val="21"/>
              </w:rPr>
            </w:pPr>
            <w:r>
              <w:rPr>
                <w:rFonts w:hint="eastAsia" w:ascii="宋体"/>
                <w:szCs w:val="21"/>
              </w:rPr>
              <w:t>本一</w:t>
            </w:r>
          </w:p>
          <w:p>
            <w:pPr>
              <w:adjustRightInd w:val="0"/>
              <w:snapToGrid w:val="0"/>
              <w:jc w:val="center"/>
              <w:rPr>
                <w:rFonts w:ascii="宋体"/>
                <w:szCs w:val="21"/>
              </w:rPr>
            </w:pPr>
            <w:r>
              <w:rPr>
                <w:rFonts w:hint="eastAsia" w:ascii="宋体"/>
                <w:szCs w:val="21"/>
              </w:rPr>
              <w:t>达线</w:t>
            </w:r>
          </w:p>
          <w:p>
            <w:pPr>
              <w:adjustRightInd w:val="0"/>
              <w:snapToGrid w:val="0"/>
              <w:jc w:val="center"/>
              <w:rPr>
                <w:rFonts w:ascii="宋体"/>
                <w:szCs w:val="21"/>
              </w:rPr>
            </w:pPr>
            <w:r>
              <w:rPr>
                <w:rFonts w:hint="eastAsia" w:ascii="宋体"/>
                <w:szCs w:val="21"/>
              </w:rPr>
              <w:t>率</w:t>
            </w:r>
          </w:p>
        </w:tc>
        <w:tc>
          <w:tcPr>
            <w:tcW w:w="787" w:type="dxa"/>
            <w:vAlign w:val="center"/>
          </w:tcPr>
          <w:p>
            <w:pPr>
              <w:adjustRightInd w:val="0"/>
              <w:snapToGrid w:val="0"/>
              <w:jc w:val="center"/>
              <w:rPr>
                <w:rFonts w:ascii="宋体"/>
                <w:szCs w:val="21"/>
              </w:rPr>
            </w:pPr>
            <w:r>
              <w:rPr>
                <w:rFonts w:hint="eastAsia" w:ascii="宋体"/>
                <w:szCs w:val="21"/>
              </w:rPr>
              <w:t>本二</w:t>
            </w:r>
          </w:p>
          <w:p>
            <w:pPr>
              <w:adjustRightInd w:val="0"/>
              <w:snapToGrid w:val="0"/>
              <w:jc w:val="center"/>
              <w:rPr>
                <w:rFonts w:ascii="宋体"/>
                <w:szCs w:val="21"/>
              </w:rPr>
            </w:pPr>
            <w:r>
              <w:rPr>
                <w:rFonts w:hint="eastAsia" w:ascii="宋体"/>
                <w:szCs w:val="21"/>
              </w:rPr>
              <w:t>以上</w:t>
            </w:r>
          </w:p>
          <w:p>
            <w:pPr>
              <w:adjustRightInd w:val="0"/>
              <w:snapToGrid w:val="0"/>
              <w:jc w:val="center"/>
              <w:rPr>
                <w:rFonts w:ascii="宋体"/>
                <w:szCs w:val="21"/>
              </w:rPr>
            </w:pPr>
            <w:r>
              <w:rPr>
                <w:rFonts w:hint="eastAsia" w:ascii="宋体"/>
                <w:szCs w:val="21"/>
              </w:rPr>
              <w:t>达线</w:t>
            </w:r>
          </w:p>
          <w:p>
            <w:pPr>
              <w:adjustRightInd w:val="0"/>
              <w:snapToGrid w:val="0"/>
              <w:jc w:val="center"/>
              <w:rPr>
                <w:rFonts w:ascii="宋体"/>
                <w:szCs w:val="21"/>
              </w:rPr>
            </w:pPr>
            <w:r>
              <w:rPr>
                <w:rFonts w:hint="eastAsia" w:ascii="宋体"/>
                <w:szCs w:val="21"/>
              </w:rPr>
              <w:t>率</w:t>
            </w:r>
          </w:p>
        </w:tc>
        <w:tc>
          <w:tcPr>
            <w:tcW w:w="590" w:type="dxa"/>
            <w:vAlign w:val="center"/>
          </w:tcPr>
          <w:p>
            <w:pPr>
              <w:adjustRightInd w:val="0"/>
              <w:snapToGrid w:val="0"/>
              <w:jc w:val="center"/>
              <w:rPr>
                <w:rFonts w:ascii="宋体"/>
                <w:szCs w:val="21"/>
              </w:rPr>
            </w:pPr>
            <w:r>
              <w:rPr>
                <w:rFonts w:hint="eastAsia" w:ascii="宋体"/>
                <w:szCs w:val="21"/>
              </w:rPr>
              <w:t>本三</w:t>
            </w:r>
          </w:p>
          <w:p>
            <w:pPr>
              <w:adjustRightInd w:val="0"/>
              <w:snapToGrid w:val="0"/>
              <w:jc w:val="center"/>
              <w:rPr>
                <w:rFonts w:ascii="宋体"/>
                <w:szCs w:val="21"/>
              </w:rPr>
            </w:pPr>
            <w:r>
              <w:rPr>
                <w:rFonts w:hint="eastAsia" w:ascii="宋体"/>
                <w:szCs w:val="21"/>
              </w:rPr>
              <w:t>以上</w:t>
            </w:r>
          </w:p>
          <w:p>
            <w:pPr>
              <w:adjustRightInd w:val="0"/>
              <w:snapToGrid w:val="0"/>
              <w:jc w:val="center"/>
              <w:rPr>
                <w:rFonts w:ascii="宋体"/>
                <w:szCs w:val="21"/>
              </w:rPr>
            </w:pPr>
            <w:r>
              <w:rPr>
                <w:rFonts w:hint="eastAsia" w:ascii="宋体"/>
                <w:szCs w:val="21"/>
              </w:rPr>
              <w:t>达线率</w:t>
            </w:r>
          </w:p>
        </w:tc>
        <w:tc>
          <w:tcPr>
            <w:tcW w:w="727" w:type="dxa"/>
            <w:vAlign w:val="center"/>
          </w:tcPr>
          <w:p>
            <w:pPr>
              <w:adjustRightInd w:val="0"/>
              <w:snapToGrid w:val="0"/>
              <w:jc w:val="center"/>
              <w:rPr>
                <w:rFonts w:ascii="宋体"/>
                <w:szCs w:val="21"/>
              </w:rPr>
            </w:pPr>
            <w:r>
              <w:rPr>
                <w:rFonts w:hint="eastAsia" w:ascii="宋体"/>
                <w:szCs w:val="21"/>
              </w:rPr>
              <w:t>大专</w:t>
            </w:r>
          </w:p>
          <w:p>
            <w:pPr>
              <w:adjustRightInd w:val="0"/>
              <w:snapToGrid w:val="0"/>
              <w:jc w:val="center"/>
              <w:rPr>
                <w:rFonts w:ascii="宋体"/>
                <w:szCs w:val="21"/>
              </w:rPr>
            </w:pPr>
            <w:r>
              <w:rPr>
                <w:rFonts w:hint="eastAsia" w:ascii="宋体"/>
                <w:szCs w:val="21"/>
              </w:rPr>
              <w:t>以上</w:t>
            </w:r>
          </w:p>
          <w:p>
            <w:pPr>
              <w:adjustRightInd w:val="0"/>
              <w:snapToGrid w:val="0"/>
              <w:jc w:val="center"/>
              <w:rPr>
                <w:rFonts w:ascii="宋体"/>
                <w:szCs w:val="21"/>
              </w:rPr>
            </w:pPr>
            <w:r>
              <w:rPr>
                <w:rFonts w:hint="eastAsia" w:ascii="宋体"/>
                <w:szCs w:val="21"/>
              </w:rPr>
              <w:t>录取</w:t>
            </w:r>
          </w:p>
          <w:p>
            <w:pPr>
              <w:adjustRightInd w:val="0"/>
              <w:snapToGrid w:val="0"/>
              <w:jc w:val="center"/>
              <w:rPr>
                <w:rFonts w:ascii="宋体"/>
                <w:szCs w:val="21"/>
              </w:rPr>
            </w:pPr>
            <w:r>
              <w:rPr>
                <w:rFonts w:hint="eastAsia" w:ascii="宋体"/>
                <w:szCs w:val="21"/>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88" w:hRule="atLeast"/>
          <w:jc w:val="center"/>
        </w:trPr>
        <w:tc>
          <w:tcPr>
            <w:tcW w:w="1072" w:type="dxa"/>
            <w:vAlign w:val="center"/>
          </w:tcPr>
          <w:p>
            <w:pPr>
              <w:adjustRightInd w:val="0"/>
              <w:snapToGrid w:val="0"/>
              <w:spacing w:line="520" w:lineRule="exact"/>
              <w:jc w:val="center"/>
              <w:rPr>
                <w:rFonts w:ascii="宋体"/>
                <w:szCs w:val="21"/>
              </w:rPr>
            </w:pPr>
            <w:r>
              <w:rPr>
                <w:rFonts w:hint="eastAsia" w:ascii="宋体"/>
                <w:szCs w:val="21"/>
              </w:rPr>
              <w:t>2015届</w:t>
            </w:r>
          </w:p>
        </w:tc>
        <w:tc>
          <w:tcPr>
            <w:tcW w:w="810" w:type="dxa"/>
            <w:vAlign w:val="center"/>
          </w:tcPr>
          <w:p>
            <w:pPr>
              <w:adjustRightInd w:val="0"/>
              <w:snapToGrid w:val="0"/>
              <w:spacing w:line="520" w:lineRule="exact"/>
              <w:jc w:val="center"/>
              <w:rPr>
                <w:rFonts w:ascii="宋体"/>
                <w:szCs w:val="21"/>
              </w:rPr>
            </w:pPr>
            <w:r>
              <w:rPr>
                <w:rFonts w:hint="eastAsia" w:ascii="宋体"/>
                <w:szCs w:val="21"/>
              </w:rPr>
              <w:t>480</w:t>
            </w:r>
          </w:p>
        </w:tc>
        <w:tc>
          <w:tcPr>
            <w:tcW w:w="788" w:type="dxa"/>
            <w:vAlign w:val="center"/>
          </w:tcPr>
          <w:p>
            <w:pPr>
              <w:adjustRightInd w:val="0"/>
              <w:snapToGrid w:val="0"/>
              <w:spacing w:line="520" w:lineRule="exact"/>
              <w:jc w:val="center"/>
              <w:rPr>
                <w:rFonts w:ascii="宋体"/>
                <w:szCs w:val="21"/>
              </w:rPr>
            </w:pPr>
            <w:r>
              <w:rPr>
                <w:rFonts w:hint="eastAsia" w:ascii="宋体"/>
                <w:szCs w:val="21"/>
              </w:rPr>
              <w:t>385</w:t>
            </w:r>
          </w:p>
        </w:tc>
        <w:tc>
          <w:tcPr>
            <w:tcW w:w="788" w:type="dxa"/>
            <w:vAlign w:val="center"/>
          </w:tcPr>
          <w:p>
            <w:pPr>
              <w:adjustRightInd w:val="0"/>
              <w:snapToGrid w:val="0"/>
              <w:spacing w:line="520" w:lineRule="exact"/>
              <w:jc w:val="center"/>
              <w:rPr>
                <w:rFonts w:ascii="宋体"/>
                <w:szCs w:val="21"/>
              </w:rPr>
            </w:pPr>
            <w:r>
              <w:rPr>
                <w:rFonts w:hint="eastAsia" w:ascii="宋体"/>
                <w:szCs w:val="21"/>
              </w:rPr>
              <w:t>385</w:t>
            </w:r>
          </w:p>
        </w:tc>
        <w:tc>
          <w:tcPr>
            <w:tcW w:w="590" w:type="dxa"/>
            <w:vAlign w:val="center"/>
          </w:tcPr>
          <w:p>
            <w:pPr>
              <w:adjustRightInd w:val="0"/>
              <w:snapToGrid w:val="0"/>
              <w:spacing w:line="520" w:lineRule="exact"/>
              <w:jc w:val="center"/>
              <w:rPr>
                <w:rFonts w:ascii="宋体"/>
                <w:szCs w:val="21"/>
              </w:rPr>
            </w:pPr>
            <w:r>
              <w:rPr>
                <w:rFonts w:hint="eastAsia" w:ascii="宋体"/>
                <w:szCs w:val="21"/>
              </w:rPr>
              <w:t>12</w:t>
            </w:r>
          </w:p>
        </w:tc>
        <w:tc>
          <w:tcPr>
            <w:tcW w:w="590" w:type="dxa"/>
            <w:vAlign w:val="center"/>
          </w:tcPr>
          <w:p>
            <w:pPr>
              <w:adjustRightInd w:val="0"/>
              <w:snapToGrid w:val="0"/>
              <w:spacing w:line="520" w:lineRule="exact"/>
              <w:jc w:val="center"/>
              <w:rPr>
                <w:rFonts w:ascii="宋体"/>
                <w:szCs w:val="21"/>
              </w:rPr>
            </w:pPr>
          </w:p>
        </w:tc>
        <w:tc>
          <w:tcPr>
            <w:tcW w:w="590" w:type="dxa"/>
            <w:vAlign w:val="center"/>
          </w:tcPr>
          <w:p>
            <w:pPr>
              <w:adjustRightInd w:val="0"/>
              <w:snapToGrid w:val="0"/>
              <w:spacing w:line="520" w:lineRule="exact"/>
              <w:jc w:val="center"/>
              <w:rPr>
                <w:rFonts w:ascii="宋体"/>
                <w:szCs w:val="21"/>
              </w:rPr>
            </w:pPr>
          </w:p>
        </w:tc>
        <w:tc>
          <w:tcPr>
            <w:tcW w:w="590" w:type="dxa"/>
            <w:vAlign w:val="center"/>
          </w:tcPr>
          <w:p>
            <w:pPr>
              <w:adjustRightInd w:val="0"/>
              <w:snapToGrid w:val="0"/>
              <w:spacing w:line="520" w:lineRule="exact"/>
              <w:jc w:val="center"/>
              <w:rPr>
                <w:rFonts w:ascii="宋体"/>
                <w:szCs w:val="21"/>
              </w:rPr>
            </w:pPr>
          </w:p>
        </w:tc>
        <w:tc>
          <w:tcPr>
            <w:tcW w:w="590" w:type="dxa"/>
            <w:vAlign w:val="center"/>
          </w:tcPr>
          <w:p>
            <w:pPr>
              <w:adjustRightInd w:val="0"/>
              <w:snapToGrid w:val="0"/>
              <w:spacing w:line="520" w:lineRule="exact"/>
              <w:jc w:val="center"/>
              <w:rPr>
                <w:rFonts w:ascii="宋体"/>
                <w:szCs w:val="21"/>
              </w:rPr>
            </w:pPr>
            <w:r>
              <w:rPr>
                <w:rFonts w:hint="eastAsia" w:ascii="宋体"/>
                <w:szCs w:val="21"/>
              </w:rPr>
              <w:t>274</w:t>
            </w:r>
          </w:p>
        </w:tc>
        <w:tc>
          <w:tcPr>
            <w:tcW w:w="787" w:type="dxa"/>
            <w:vAlign w:val="center"/>
          </w:tcPr>
          <w:p>
            <w:pPr>
              <w:adjustRightInd w:val="0"/>
              <w:snapToGrid w:val="0"/>
              <w:spacing w:line="520" w:lineRule="exact"/>
              <w:jc w:val="center"/>
              <w:rPr>
                <w:rFonts w:ascii="宋体"/>
                <w:szCs w:val="21"/>
              </w:rPr>
            </w:pPr>
          </w:p>
        </w:tc>
        <w:tc>
          <w:tcPr>
            <w:tcW w:w="787" w:type="dxa"/>
            <w:vAlign w:val="center"/>
          </w:tcPr>
          <w:p>
            <w:pPr>
              <w:adjustRightInd w:val="0"/>
              <w:snapToGrid w:val="0"/>
              <w:spacing w:line="520" w:lineRule="exact"/>
              <w:jc w:val="center"/>
              <w:rPr>
                <w:rFonts w:ascii="宋体"/>
                <w:szCs w:val="21"/>
              </w:rPr>
            </w:pPr>
            <w:r>
              <w:rPr>
                <w:rFonts w:hint="eastAsia" w:ascii="宋体"/>
                <w:szCs w:val="21"/>
              </w:rPr>
              <w:t>50.7%</w:t>
            </w:r>
          </w:p>
        </w:tc>
        <w:tc>
          <w:tcPr>
            <w:tcW w:w="590" w:type="dxa"/>
            <w:vAlign w:val="center"/>
          </w:tcPr>
          <w:p>
            <w:pPr>
              <w:adjustRightInd w:val="0"/>
              <w:snapToGrid w:val="0"/>
              <w:spacing w:line="520" w:lineRule="exact"/>
              <w:jc w:val="center"/>
              <w:rPr>
                <w:rFonts w:ascii="宋体"/>
                <w:szCs w:val="21"/>
              </w:rPr>
            </w:pPr>
            <w:r>
              <w:rPr>
                <w:rFonts w:hint="eastAsia" w:ascii="宋体"/>
                <w:szCs w:val="21"/>
              </w:rPr>
              <w:t>78.5%</w:t>
            </w:r>
          </w:p>
        </w:tc>
        <w:tc>
          <w:tcPr>
            <w:tcW w:w="727" w:type="dxa"/>
            <w:vAlign w:val="center"/>
          </w:tcPr>
          <w:p>
            <w:pPr>
              <w:adjustRightInd w:val="0"/>
              <w:snapToGrid w:val="0"/>
              <w:spacing w:line="520" w:lineRule="exact"/>
              <w:jc w:val="center"/>
              <w:rPr>
                <w:rFonts w:ascii="宋体"/>
                <w:szCs w:val="21"/>
              </w:rPr>
            </w:pPr>
            <w:r>
              <w:rPr>
                <w:rFonts w:hint="eastAsia" w:asci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88" w:hRule="atLeast"/>
          <w:jc w:val="center"/>
        </w:trPr>
        <w:tc>
          <w:tcPr>
            <w:tcW w:w="1072" w:type="dxa"/>
            <w:vAlign w:val="center"/>
          </w:tcPr>
          <w:p>
            <w:pPr>
              <w:adjustRightInd w:val="0"/>
              <w:snapToGrid w:val="0"/>
              <w:spacing w:line="520" w:lineRule="exact"/>
              <w:jc w:val="center"/>
              <w:rPr>
                <w:rFonts w:ascii="宋体"/>
                <w:szCs w:val="21"/>
              </w:rPr>
            </w:pPr>
            <w:r>
              <w:rPr>
                <w:rFonts w:hint="eastAsia" w:ascii="宋体"/>
                <w:szCs w:val="21"/>
              </w:rPr>
              <w:t>2016届</w:t>
            </w:r>
          </w:p>
        </w:tc>
        <w:tc>
          <w:tcPr>
            <w:tcW w:w="810" w:type="dxa"/>
            <w:vAlign w:val="center"/>
          </w:tcPr>
          <w:p>
            <w:pPr>
              <w:adjustRightInd w:val="0"/>
              <w:snapToGrid w:val="0"/>
              <w:spacing w:line="520" w:lineRule="exact"/>
              <w:jc w:val="center"/>
              <w:rPr>
                <w:rFonts w:ascii="宋体"/>
                <w:szCs w:val="21"/>
              </w:rPr>
            </w:pPr>
            <w:r>
              <w:rPr>
                <w:rFonts w:hint="eastAsia" w:ascii="宋体"/>
                <w:szCs w:val="21"/>
              </w:rPr>
              <w:t>480</w:t>
            </w:r>
          </w:p>
        </w:tc>
        <w:tc>
          <w:tcPr>
            <w:tcW w:w="788" w:type="dxa"/>
            <w:vAlign w:val="center"/>
          </w:tcPr>
          <w:p>
            <w:pPr>
              <w:adjustRightInd w:val="0"/>
              <w:snapToGrid w:val="0"/>
              <w:spacing w:line="520" w:lineRule="exact"/>
              <w:jc w:val="center"/>
              <w:rPr>
                <w:rFonts w:ascii="宋体"/>
                <w:szCs w:val="21"/>
              </w:rPr>
            </w:pPr>
            <w:r>
              <w:rPr>
                <w:rFonts w:hint="eastAsia" w:ascii="宋体"/>
                <w:szCs w:val="21"/>
              </w:rPr>
              <w:t>430</w:t>
            </w:r>
          </w:p>
        </w:tc>
        <w:tc>
          <w:tcPr>
            <w:tcW w:w="788" w:type="dxa"/>
            <w:vAlign w:val="center"/>
          </w:tcPr>
          <w:p>
            <w:pPr>
              <w:adjustRightInd w:val="0"/>
              <w:snapToGrid w:val="0"/>
              <w:spacing w:line="520" w:lineRule="exact"/>
              <w:jc w:val="center"/>
              <w:rPr>
                <w:rFonts w:ascii="宋体"/>
                <w:szCs w:val="21"/>
              </w:rPr>
            </w:pPr>
            <w:r>
              <w:rPr>
                <w:rFonts w:hint="eastAsia" w:ascii="宋体"/>
                <w:szCs w:val="21"/>
              </w:rPr>
              <w:t>430</w:t>
            </w:r>
          </w:p>
        </w:tc>
        <w:tc>
          <w:tcPr>
            <w:tcW w:w="590" w:type="dxa"/>
            <w:vAlign w:val="center"/>
          </w:tcPr>
          <w:p>
            <w:pPr>
              <w:adjustRightInd w:val="0"/>
              <w:snapToGrid w:val="0"/>
              <w:spacing w:line="520" w:lineRule="exact"/>
              <w:jc w:val="center"/>
              <w:rPr>
                <w:rFonts w:ascii="宋体"/>
                <w:szCs w:val="21"/>
              </w:rPr>
            </w:pPr>
          </w:p>
        </w:tc>
        <w:tc>
          <w:tcPr>
            <w:tcW w:w="590" w:type="dxa"/>
            <w:vAlign w:val="center"/>
          </w:tcPr>
          <w:p>
            <w:pPr>
              <w:adjustRightInd w:val="0"/>
              <w:snapToGrid w:val="0"/>
              <w:spacing w:line="520" w:lineRule="exact"/>
              <w:jc w:val="center"/>
              <w:rPr>
                <w:rFonts w:ascii="宋体"/>
                <w:szCs w:val="21"/>
              </w:rPr>
            </w:pPr>
          </w:p>
        </w:tc>
        <w:tc>
          <w:tcPr>
            <w:tcW w:w="590" w:type="dxa"/>
            <w:vAlign w:val="center"/>
          </w:tcPr>
          <w:p>
            <w:pPr>
              <w:adjustRightInd w:val="0"/>
              <w:snapToGrid w:val="0"/>
              <w:spacing w:line="520" w:lineRule="exact"/>
              <w:jc w:val="center"/>
              <w:rPr>
                <w:rFonts w:ascii="宋体"/>
                <w:szCs w:val="21"/>
              </w:rPr>
            </w:pPr>
          </w:p>
        </w:tc>
        <w:tc>
          <w:tcPr>
            <w:tcW w:w="590" w:type="dxa"/>
            <w:vAlign w:val="center"/>
          </w:tcPr>
          <w:p>
            <w:pPr>
              <w:adjustRightInd w:val="0"/>
              <w:snapToGrid w:val="0"/>
              <w:spacing w:line="520" w:lineRule="exact"/>
              <w:jc w:val="center"/>
              <w:rPr>
                <w:rFonts w:ascii="宋体"/>
                <w:szCs w:val="21"/>
              </w:rPr>
            </w:pPr>
          </w:p>
        </w:tc>
        <w:tc>
          <w:tcPr>
            <w:tcW w:w="590" w:type="dxa"/>
            <w:vAlign w:val="center"/>
          </w:tcPr>
          <w:p>
            <w:pPr>
              <w:adjustRightInd w:val="0"/>
              <w:snapToGrid w:val="0"/>
              <w:spacing w:line="520" w:lineRule="exact"/>
              <w:jc w:val="center"/>
              <w:rPr>
                <w:rFonts w:ascii="宋体"/>
                <w:szCs w:val="21"/>
              </w:rPr>
            </w:pPr>
            <w:r>
              <w:rPr>
                <w:rFonts w:hint="eastAsia" w:ascii="宋体"/>
                <w:szCs w:val="21"/>
              </w:rPr>
              <w:t>215</w:t>
            </w:r>
          </w:p>
        </w:tc>
        <w:tc>
          <w:tcPr>
            <w:tcW w:w="787" w:type="dxa"/>
            <w:vAlign w:val="center"/>
          </w:tcPr>
          <w:p>
            <w:pPr>
              <w:adjustRightInd w:val="0"/>
              <w:snapToGrid w:val="0"/>
              <w:spacing w:line="520" w:lineRule="exact"/>
              <w:jc w:val="center"/>
              <w:rPr>
                <w:rFonts w:ascii="宋体"/>
                <w:szCs w:val="21"/>
              </w:rPr>
            </w:pPr>
          </w:p>
        </w:tc>
        <w:tc>
          <w:tcPr>
            <w:tcW w:w="787" w:type="dxa"/>
            <w:vAlign w:val="center"/>
          </w:tcPr>
          <w:p>
            <w:pPr>
              <w:adjustRightInd w:val="0"/>
              <w:snapToGrid w:val="0"/>
              <w:spacing w:line="520" w:lineRule="exact"/>
              <w:jc w:val="center"/>
              <w:rPr>
                <w:rFonts w:ascii="宋体"/>
                <w:szCs w:val="21"/>
              </w:rPr>
            </w:pPr>
            <w:r>
              <w:rPr>
                <w:rFonts w:hint="eastAsia" w:ascii="宋体"/>
                <w:szCs w:val="21"/>
              </w:rPr>
              <w:t>53.0%</w:t>
            </w:r>
          </w:p>
        </w:tc>
        <w:tc>
          <w:tcPr>
            <w:tcW w:w="590" w:type="dxa"/>
            <w:vAlign w:val="center"/>
          </w:tcPr>
          <w:p>
            <w:pPr>
              <w:adjustRightInd w:val="0"/>
              <w:snapToGrid w:val="0"/>
              <w:spacing w:line="520" w:lineRule="exact"/>
              <w:jc w:val="center"/>
              <w:rPr>
                <w:rFonts w:ascii="宋体"/>
                <w:szCs w:val="21"/>
              </w:rPr>
            </w:pPr>
            <w:r>
              <w:rPr>
                <w:rFonts w:hint="eastAsia" w:ascii="宋体"/>
                <w:szCs w:val="21"/>
              </w:rPr>
              <w:t>86.0%</w:t>
            </w:r>
          </w:p>
        </w:tc>
        <w:tc>
          <w:tcPr>
            <w:tcW w:w="727" w:type="dxa"/>
            <w:vAlign w:val="center"/>
          </w:tcPr>
          <w:p>
            <w:pPr>
              <w:adjustRightInd w:val="0"/>
              <w:snapToGrid w:val="0"/>
              <w:spacing w:line="520" w:lineRule="exact"/>
              <w:jc w:val="center"/>
              <w:rPr>
                <w:rFonts w:ascii="宋体"/>
                <w:szCs w:val="21"/>
              </w:rPr>
            </w:pPr>
            <w:r>
              <w:rPr>
                <w:rFonts w:hint="eastAsia" w:asci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88" w:hRule="atLeast"/>
          <w:jc w:val="center"/>
        </w:trPr>
        <w:tc>
          <w:tcPr>
            <w:tcW w:w="1072" w:type="dxa"/>
            <w:vAlign w:val="center"/>
          </w:tcPr>
          <w:p>
            <w:pPr>
              <w:adjustRightInd w:val="0"/>
              <w:snapToGrid w:val="0"/>
              <w:spacing w:line="520" w:lineRule="exact"/>
              <w:ind w:firstLine="105" w:firstLineChars="50"/>
              <w:jc w:val="left"/>
              <w:rPr>
                <w:rFonts w:ascii="宋体"/>
                <w:szCs w:val="21"/>
              </w:rPr>
            </w:pPr>
            <w:r>
              <w:rPr>
                <w:rFonts w:hint="eastAsia" w:ascii="宋体"/>
                <w:szCs w:val="21"/>
              </w:rPr>
              <w:t xml:space="preserve"> 2017届</w:t>
            </w:r>
          </w:p>
        </w:tc>
        <w:tc>
          <w:tcPr>
            <w:tcW w:w="810" w:type="dxa"/>
            <w:vAlign w:val="center"/>
          </w:tcPr>
          <w:p>
            <w:pPr>
              <w:adjustRightInd w:val="0"/>
              <w:snapToGrid w:val="0"/>
              <w:spacing w:line="520" w:lineRule="exact"/>
              <w:jc w:val="center"/>
              <w:rPr>
                <w:rFonts w:ascii="宋体"/>
                <w:szCs w:val="21"/>
              </w:rPr>
            </w:pPr>
            <w:r>
              <w:rPr>
                <w:rFonts w:hint="eastAsia" w:ascii="宋体"/>
                <w:szCs w:val="21"/>
              </w:rPr>
              <w:t>480</w:t>
            </w:r>
          </w:p>
        </w:tc>
        <w:tc>
          <w:tcPr>
            <w:tcW w:w="788" w:type="dxa"/>
            <w:vAlign w:val="center"/>
          </w:tcPr>
          <w:p>
            <w:pPr>
              <w:adjustRightInd w:val="0"/>
              <w:snapToGrid w:val="0"/>
              <w:spacing w:line="520" w:lineRule="exact"/>
              <w:jc w:val="center"/>
              <w:rPr>
                <w:rFonts w:ascii="宋体"/>
                <w:szCs w:val="21"/>
              </w:rPr>
            </w:pPr>
            <w:r>
              <w:rPr>
                <w:rFonts w:hint="eastAsia" w:ascii="宋体"/>
                <w:szCs w:val="21"/>
              </w:rPr>
              <w:t>437</w:t>
            </w:r>
          </w:p>
        </w:tc>
        <w:tc>
          <w:tcPr>
            <w:tcW w:w="788" w:type="dxa"/>
            <w:vAlign w:val="center"/>
          </w:tcPr>
          <w:p>
            <w:pPr>
              <w:adjustRightInd w:val="0"/>
              <w:snapToGrid w:val="0"/>
              <w:spacing w:line="520" w:lineRule="exact"/>
              <w:jc w:val="center"/>
              <w:rPr>
                <w:rFonts w:ascii="宋体"/>
                <w:szCs w:val="21"/>
              </w:rPr>
            </w:pPr>
            <w:r>
              <w:rPr>
                <w:rFonts w:hint="eastAsia" w:ascii="宋体"/>
                <w:szCs w:val="21"/>
              </w:rPr>
              <w:t>437</w:t>
            </w:r>
          </w:p>
        </w:tc>
        <w:tc>
          <w:tcPr>
            <w:tcW w:w="590" w:type="dxa"/>
            <w:vAlign w:val="center"/>
          </w:tcPr>
          <w:p>
            <w:pPr>
              <w:adjustRightInd w:val="0"/>
              <w:snapToGrid w:val="0"/>
              <w:spacing w:line="520" w:lineRule="exact"/>
              <w:jc w:val="center"/>
              <w:rPr>
                <w:rFonts w:ascii="宋体"/>
                <w:szCs w:val="21"/>
              </w:rPr>
            </w:pPr>
          </w:p>
        </w:tc>
        <w:tc>
          <w:tcPr>
            <w:tcW w:w="590" w:type="dxa"/>
            <w:vAlign w:val="center"/>
          </w:tcPr>
          <w:p>
            <w:pPr>
              <w:adjustRightInd w:val="0"/>
              <w:snapToGrid w:val="0"/>
              <w:spacing w:line="520" w:lineRule="exact"/>
              <w:jc w:val="center"/>
              <w:rPr>
                <w:rFonts w:ascii="宋体"/>
                <w:szCs w:val="21"/>
              </w:rPr>
            </w:pPr>
          </w:p>
        </w:tc>
        <w:tc>
          <w:tcPr>
            <w:tcW w:w="590" w:type="dxa"/>
            <w:vAlign w:val="center"/>
          </w:tcPr>
          <w:p>
            <w:pPr>
              <w:adjustRightInd w:val="0"/>
              <w:snapToGrid w:val="0"/>
              <w:spacing w:line="520" w:lineRule="exact"/>
              <w:jc w:val="center"/>
              <w:rPr>
                <w:rFonts w:ascii="宋体"/>
                <w:szCs w:val="21"/>
              </w:rPr>
            </w:pPr>
          </w:p>
        </w:tc>
        <w:tc>
          <w:tcPr>
            <w:tcW w:w="590" w:type="dxa"/>
            <w:vAlign w:val="center"/>
          </w:tcPr>
          <w:p>
            <w:pPr>
              <w:adjustRightInd w:val="0"/>
              <w:snapToGrid w:val="0"/>
              <w:spacing w:line="520" w:lineRule="exact"/>
              <w:jc w:val="center"/>
              <w:rPr>
                <w:rFonts w:ascii="宋体"/>
                <w:szCs w:val="21"/>
              </w:rPr>
            </w:pPr>
          </w:p>
        </w:tc>
        <w:tc>
          <w:tcPr>
            <w:tcW w:w="590" w:type="dxa"/>
            <w:vAlign w:val="center"/>
          </w:tcPr>
          <w:p>
            <w:pPr>
              <w:adjustRightInd w:val="0"/>
              <w:snapToGrid w:val="0"/>
              <w:spacing w:line="520" w:lineRule="exact"/>
              <w:jc w:val="center"/>
              <w:rPr>
                <w:rFonts w:ascii="宋体"/>
                <w:szCs w:val="21"/>
              </w:rPr>
            </w:pPr>
            <w:r>
              <w:rPr>
                <w:rFonts w:hint="eastAsia" w:ascii="宋体"/>
                <w:szCs w:val="21"/>
              </w:rPr>
              <w:t>215</w:t>
            </w:r>
          </w:p>
        </w:tc>
        <w:tc>
          <w:tcPr>
            <w:tcW w:w="787" w:type="dxa"/>
            <w:vAlign w:val="center"/>
          </w:tcPr>
          <w:p>
            <w:pPr>
              <w:adjustRightInd w:val="0"/>
              <w:snapToGrid w:val="0"/>
              <w:spacing w:line="520" w:lineRule="exact"/>
              <w:ind w:firstLine="105" w:firstLineChars="50"/>
              <w:jc w:val="center"/>
              <w:rPr>
                <w:rFonts w:ascii="宋体"/>
                <w:szCs w:val="21"/>
              </w:rPr>
            </w:pPr>
            <w:r>
              <w:rPr>
                <w:rFonts w:hint="eastAsia" w:ascii="宋体"/>
                <w:szCs w:val="21"/>
              </w:rPr>
              <w:t>2.3%</w:t>
            </w:r>
          </w:p>
        </w:tc>
        <w:tc>
          <w:tcPr>
            <w:tcW w:w="787" w:type="dxa"/>
            <w:vAlign w:val="center"/>
          </w:tcPr>
          <w:p>
            <w:pPr>
              <w:adjustRightInd w:val="0"/>
              <w:snapToGrid w:val="0"/>
              <w:spacing w:line="520" w:lineRule="exact"/>
              <w:jc w:val="center"/>
              <w:rPr>
                <w:rFonts w:ascii="宋体"/>
                <w:szCs w:val="21"/>
              </w:rPr>
            </w:pPr>
            <w:r>
              <w:rPr>
                <w:rFonts w:hint="eastAsia" w:ascii="宋体"/>
                <w:szCs w:val="21"/>
              </w:rPr>
              <w:t>92.0%</w:t>
            </w:r>
          </w:p>
        </w:tc>
        <w:tc>
          <w:tcPr>
            <w:tcW w:w="590" w:type="dxa"/>
            <w:vAlign w:val="center"/>
          </w:tcPr>
          <w:p>
            <w:pPr>
              <w:adjustRightInd w:val="0"/>
              <w:snapToGrid w:val="0"/>
              <w:spacing w:line="520" w:lineRule="exact"/>
              <w:jc w:val="center"/>
              <w:rPr>
                <w:rFonts w:ascii="宋体"/>
                <w:szCs w:val="21"/>
              </w:rPr>
            </w:pPr>
            <w:r>
              <w:rPr>
                <w:rFonts w:hint="eastAsia" w:ascii="宋体"/>
                <w:szCs w:val="21"/>
              </w:rPr>
              <w:t>92.0%</w:t>
            </w:r>
          </w:p>
        </w:tc>
        <w:tc>
          <w:tcPr>
            <w:tcW w:w="727" w:type="dxa"/>
            <w:vAlign w:val="center"/>
          </w:tcPr>
          <w:p>
            <w:pPr>
              <w:adjustRightInd w:val="0"/>
              <w:snapToGrid w:val="0"/>
              <w:spacing w:line="520" w:lineRule="exact"/>
              <w:jc w:val="center"/>
              <w:rPr>
                <w:rFonts w:ascii="宋体"/>
                <w:szCs w:val="21"/>
              </w:rPr>
            </w:pPr>
            <w:r>
              <w:rPr>
                <w:rFonts w:hint="eastAsia" w:ascii="宋体"/>
                <w:szCs w:val="21"/>
              </w:rPr>
              <w:t>100%</w:t>
            </w:r>
          </w:p>
        </w:tc>
      </w:tr>
    </w:tbl>
    <w:p>
      <w:pPr>
        <w:snapToGrid w:val="0"/>
        <w:rPr>
          <w:rFonts w:ascii="宋体" w:hAnsi="宋体"/>
          <w:szCs w:val="21"/>
        </w:rPr>
      </w:pPr>
      <w:r>
        <w:rPr>
          <w:rFonts w:hint="eastAsia" w:ascii="宋体" w:hAnsi="宋体"/>
          <w:szCs w:val="21"/>
        </w:rPr>
        <w:t>注：高考录取人数均含体育艺术类考生、考前国外大学录取数。</w:t>
      </w:r>
    </w:p>
    <w:p>
      <w:pPr>
        <w:tabs>
          <w:tab w:val="left" w:pos="0"/>
        </w:tabs>
        <w:spacing w:line="560" w:lineRule="exact"/>
        <w:ind w:right="560"/>
        <w:rPr>
          <w:rFonts w:ascii="宋体"/>
          <w:szCs w:val="21"/>
        </w:rPr>
      </w:pPr>
      <w:r>
        <w:rPr>
          <w:szCs w:val="21"/>
        </w:rPr>
        <w:t xml:space="preserve"> </w:t>
      </w:r>
      <w:r>
        <w:rPr>
          <w:rFonts w:hint="eastAsia" w:ascii="宋体"/>
          <w:b/>
          <w:szCs w:val="21"/>
        </w:rPr>
        <w:t>18.学校荣誉一览表</w:t>
      </w:r>
    </w:p>
    <w:p>
      <w:pPr>
        <w:snapToGrid w:val="0"/>
        <w:rPr>
          <w:rFonts w:ascii="宋体" w:hAnsi="宋体" w:cs="宋体"/>
          <w:szCs w:val="21"/>
        </w:rPr>
      </w:pPr>
      <w:r>
        <w:rPr>
          <w:rFonts w:hint="eastAsia" w:ascii="宋体" w:hAnsi="宋体" w:cs="宋体"/>
          <w:szCs w:val="21"/>
        </w:rPr>
        <w:t>注：以党委、政府、组织、人事和教育行政部门为主，按颁奖级别由高到低排列。</w:t>
      </w:r>
    </w:p>
    <w:tbl>
      <w:tblPr>
        <w:tblStyle w:val="14"/>
        <w:tblW w:w="9299" w:type="dxa"/>
        <w:tblInd w:w="0" w:type="dxa"/>
        <w:tblLayout w:type="fixed"/>
        <w:tblCellMar>
          <w:top w:w="0" w:type="dxa"/>
          <w:left w:w="108" w:type="dxa"/>
          <w:bottom w:w="0" w:type="dxa"/>
          <w:right w:w="108" w:type="dxa"/>
        </w:tblCellMar>
      </w:tblPr>
      <w:tblGrid>
        <w:gridCol w:w="4070"/>
        <w:gridCol w:w="1001"/>
        <w:gridCol w:w="4228"/>
      </w:tblGrid>
      <w:tr>
        <w:tblPrEx>
          <w:tblLayout w:type="fixed"/>
          <w:tblCellMar>
            <w:top w:w="0" w:type="dxa"/>
            <w:left w:w="108" w:type="dxa"/>
            <w:bottom w:w="0" w:type="dxa"/>
            <w:right w:w="108" w:type="dxa"/>
          </w:tblCellMar>
        </w:tblPrEx>
        <w:trPr>
          <w:trHeight w:val="455" w:hRule="atLeast"/>
        </w:trPr>
        <w:tc>
          <w:tcPr>
            <w:tcW w:w="9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学校自上轮现场考察以来获得的市（县、区）级以上荣誉、奖励</w:t>
            </w:r>
          </w:p>
        </w:tc>
      </w:tr>
      <w:tr>
        <w:tblPrEx>
          <w:tblLayout w:type="fixed"/>
          <w:tblCellMar>
            <w:top w:w="0" w:type="dxa"/>
            <w:left w:w="108" w:type="dxa"/>
            <w:bottom w:w="0" w:type="dxa"/>
            <w:right w:w="108" w:type="dxa"/>
          </w:tblCellMar>
        </w:tblPrEx>
        <w:trPr>
          <w:trHeight w:val="391"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荣誉、奖励名称</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获得时间</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授奖部门</w:t>
            </w:r>
          </w:p>
        </w:tc>
      </w:tr>
      <w:tr>
        <w:tblPrEx>
          <w:tblLayout w:type="fixed"/>
          <w:tblCellMar>
            <w:top w:w="0" w:type="dxa"/>
            <w:left w:w="108" w:type="dxa"/>
            <w:bottom w:w="0" w:type="dxa"/>
            <w:right w:w="108" w:type="dxa"/>
          </w:tblCellMar>
        </w:tblPrEx>
        <w:trPr>
          <w:trHeight w:val="298"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江苏省四星级普通高中</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2014.03</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江苏省教育厅</w:t>
            </w:r>
          </w:p>
        </w:tc>
      </w:tr>
      <w:tr>
        <w:tblPrEx>
          <w:tblLayout w:type="fixed"/>
          <w:tblCellMar>
            <w:top w:w="0" w:type="dxa"/>
            <w:left w:w="108" w:type="dxa"/>
            <w:bottom w:w="0" w:type="dxa"/>
            <w:right w:w="108" w:type="dxa"/>
          </w:tblCellMar>
        </w:tblPrEx>
        <w:trPr>
          <w:trHeight w:val="298"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全国百强特色学校</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2011.12</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中国教育报刊社</w:t>
            </w:r>
          </w:p>
        </w:tc>
      </w:tr>
      <w:tr>
        <w:tblPrEx>
          <w:tblLayout w:type="fixed"/>
          <w:tblCellMar>
            <w:top w:w="0" w:type="dxa"/>
            <w:left w:w="108" w:type="dxa"/>
            <w:bottom w:w="0" w:type="dxa"/>
            <w:right w:w="108" w:type="dxa"/>
          </w:tblCellMar>
        </w:tblPrEx>
        <w:trPr>
          <w:trHeight w:val="298"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全国特色教育示范单位</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2014.07</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中国教师发展基金会</w:t>
            </w:r>
          </w:p>
          <w:p>
            <w:pPr>
              <w:jc w:val="left"/>
              <w:rPr>
                <w:rFonts w:ascii="宋体" w:hAnsi="宋体"/>
                <w:szCs w:val="21"/>
              </w:rPr>
            </w:pPr>
            <w:r>
              <w:rPr>
                <w:rFonts w:hint="eastAsia" w:ascii="宋体" w:hAnsi="宋体"/>
              </w:rPr>
              <w:t>教师科研专项基金管理办公室</w:t>
            </w:r>
          </w:p>
        </w:tc>
      </w:tr>
      <w:tr>
        <w:tblPrEx>
          <w:tblLayout w:type="fixed"/>
          <w:tblCellMar>
            <w:top w:w="0" w:type="dxa"/>
            <w:left w:w="108" w:type="dxa"/>
            <w:bottom w:w="0" w:type="dxa"/>
            <w:right w:w="108" w:type="dxa"/>
          </w:tblCellMar>
        </w:tblPrEx>
        <w:trPr>
          <w:trHeight w:val="298"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“中国好教育”联盟联合体江苏六朝联盟理事单位</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2016.05</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“中国好教育”联盟联合体</w:t>
            </w:r>
          </w:p>
        </w:tc>
      </w:tr>
      <w:tr>
        <w:tblPrEx>
          <w:tblLayout w:type="fixed"/>
          <w:tblCellMar>
            <w:top w:w="0" w:type="dxa"/>
            <w:left w:w="108" w:type="dxa"/>
            <w:bottom w:w="0" w:type="dxa"/>
            <w:right w:w="108" w:type="dxa"/>
          </w:tblCellMar>
        </w:tblPrEx>
        <w:trPr>
          <w:trHeight w:val="298"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数字美术教育研究中心实验基地</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2011.12</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《中国美术教育》数字美术研究中心</w:t>
            </w:r>
          </w:p>
        </w:tc>
      </w:tr>
      <w:tr>
        <w:tblPrEx>
          <w:tblLayout w:type="fixed"/>
          <w:tblCellMar>
            <w:top w:w="0" w:type="dxa"/>
            <w:left w:w="108" w:type="dxa"/>
            <w:bottom w:w="0" w:type="dxa"/>
            <w:right w:w="108" w:type="dxa"/>
          </w:tblCellMar>
        </w:tblPrEx>
        <w:trPr>
          <w:trHeight w:val="298"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kern w:val="0"/>
              </w:rPr>
              <w:t>中国美术学院生源培育基地实验学校</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kern w:val="0"/>
              </w:rPr>
              <w:t>2015.11</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kern w:val="0"/>
              </w:rPr>
              <w:t>中国美术学院</w:t>
            </w:r>
          </w:p>
        </w:tc>
      </w:tr>
      <w:tr>
        <w:tblPrEx>
          <w:tblLayout w:type="fixed"/>
          <w:tblCellMar>
            <w:top w:w="0" w:type="dxa"/>
            <w:left w:w="108" w:type="dxa"/>
            <w:bottom w:w="0" w:type="dxa"/>
            <w:right w:w="108" w:type="dxa"/>
          </w:tblCellMar>
        </w:tblPrEx>
        <w:trPr>
          <w:trHeight w:val="298"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动漫教育实验学校</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2013.03</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中央电化教育馆、中国教育国际交流协会</w:t>
            </w:r>
          </w:p>
        </w:tc>
      </w:tr>
      <w:tr>
        <w:tblPrEx>
          <w:tblLayout w:type="fixed"/>
          <w:tblCellMar>
            <w:top w:w="0" w:type="dxa"/>
            <w:left w:w="108" w:type="dxa"/>
            <w:bottom w:w="0" w:type="dxa"/>
            <w:right w:w="108" w:type="dxa"/>
          </w:tblCellMar>
        </w:tblPrEx>
        <w:trPr>
          <w:trHeight w:val="298"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全国地理科普教育基地</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2013.01</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中国地理学会</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Cs w:val="21"/>
              </w:rPr>
            </w:pPr>
            <w:r>
              <w:rPr>
                <w:rFonts w:hint="eastAsia" w:ascii="宋体" w:hAnsi="宋体"/>
              </w:rPr>
              <w:t>地理科普教育示范基地</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kern w:val="0"/>
                <w:szCs w:val="21"/>
              </w:rPr>
            </w:pPr>
            <w:r>
              <w:rPr>
                <w:rFonts w:hint="eastAsia" w:ascii="宋体" w:hAnsi="宋体"/>
              </w:rPr>
              <w:t>2016.12</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kern w:val="0"/>
                <w:szCs w:val="21"/>
              </w:rPr>
            </w:pPr>
            <w:r>
              <w:rPr>
                <w:rFonts w:hint="eastAsia" w:ascii="宋体" w:hAnsi="宋体"/>
              </w:rPr>
              <w:t>中国地理学会</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生命教育实验学校</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2013.06</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北京师范大学生命教育研究中心</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Cs w:val="21"/>
              </w:rPr>
            </w:pPr>
            <w:r>
              <w:rPr>
                <w:rFonts w:hint="eastAsia" w:ascii="宋体" w:hAnsi="宋体"/>
                <w:kern w:val="0"/>
              </w:rPr>
              <w:t>“快与慢”全国高中生大型征文活动</w:t>
            </w:r>
          </w:p>
          <w:p>
            <w:pPr>
              <w:jc w:val="left"/>
              <w:rPr>
                <w:rFonts w:ascii="宋体" w:hAnsi="宋体"/>
                <w:szCs w:val="21"/>
              </w:rPr>
            </w:pPr>
            <w:r>
              <w:rPr>
                <w:rFonts w:hint="eastAsia" w:ascii="宋体" w:hAnsi="宋体"/>
                <w:kern w:val="0"/>
              </w:rPr>
              <w:t>优秀组织奖</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kern w:val="0"/>
              </w:rPr>
              <w:t>2015.05</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kern w:val="0"/>
              </w:rPr>
              <w:t>《中学生阅读》高中版编辑部</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Cs w:val="21"/>
              </w:rPr>
            </w:pPr>
            <w:r>
              <w:rPr>
                <w:rFonts w:hint="eastAsia" w:ascii="宋体" w:hAnsi="宋体"/>
                <w:kern w:val="0"/>
              </w:rPr>
              <w:t>全国青少年“我们的价值观”读书教育活动组织奖</w:t>
            </w:r>
          </w:p>
        </w:tc>
        <w:tc>
          <w:tcPr>
            <w:tcW w:w="1001" w:type="dxa"/>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kern w:val="0"/>
              </w:rPr>
              <w:t>2015.07</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kern w:val="0"/>
                <w:szCs w:val="21"/>
              </w:rPr>
            </w:pPr>
            <w:r>
              <w:rPr>
                <w:rFonts w:hint="eastAsia" w:ascii="宋体" w:hAnsi="宋体"/>
                <w:kern w:val="0"/>
              </w:rPr>
              <w:t>全国青少年读书教育活动组织委员会</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全国青少年“依法治国”读书教育活动组织奖</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2016.07</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中国关心下一代工作委员会</w:t>
            </w:r>
          </w:p>
          <w:p>
            <w:pPr>
              <w:jc w:val="left"/>
              <w:rPr>
                <w:rFonts w:ascii="宋体" w:hAnsi="宋体"/>
              </w:rPr>
            </w:pPr>
            <w:r>
              <w:rPr>
                <w:rFonts w:hint="eastAsia" w:ascii="宋体" w:hAnsi="宋体"/>
              </w:rPr>
              <w:t>教育部关心下一代工作委员会</w:t>
            </w:r>
          </w:p>
          <w:p>
            <w:pPr>
              <w:jc w:val="left"/>
              <w:rPr>
                <w:rFonts w:ascii="宋体" w:hAnsi="宋体"/>
              </w:rPr>
            </w:pPr>
            <w:r>
              <w:rPr>
                <w:rFonts w:hint="eastAsia" w:ascii="宋体" w:hAnsi="宋体"/>
              </w:rPr>
              <w:t>中国少年先锋队全国工作委员会</w:t>
            </w:r>
          </w:p>
          <w:p>
            <w:pPr>
              <w:jc w:val="left"/>
              <w:rPr>
                <w:rFonts w:ascii="宋体" w:hAnsi="宋体"/>
              </w:rPr>
            </w:pPr>
            <w:r>
              <w:rPr>
                <w:rFonts w:hint="eastAsia" w:ascii="宋体" w:hAnsi="宋体"/>
              </w:rPr>
              <w:t>中国共产主义青年团中央委员会</w:t>
            </w:r>
          </w:p>
          <w:p>
            <w:pPr>
              <w:jc w:val="left"/>
              <w:rPr>
                <w:rFonts w:ascii="宋体" w:hAnsi="宋体"/>
              </w:rPr>
            </w:pPr>
            <w:r>
              <w:rPr>
                <w:rFonts w:hint="eastAsia" w:ascii="宋体" w:hAnsi="宋体"/>
              </w:rPr>
              <w:t>共青团中央宣传部</w:t>
            </w:r>
          </w:p>
          <w:p>
            <w:pPr>
              <w:jc w:val="left"/>
              <w:rPr>
                <w:rFonts w:ascii="宋体" w:hAnsi="宋体"/>
                <w:szCs w:val="21"/>
              </w:rPr>
            </w:pPr>
            <w:r>
              <w:rPr>
                <w:rFonts w:hint="eastAsia" w:ascii="宋体" w:hAnsi="宋体"/>
              </w:rPr>
              <w:t>中国青年出版社</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“全国青少年学生法治知识网络大赛”高级中学（含职业高中）组组织奖</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2016.03</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全国青少年学生法治知识网络大赛组委员会</w:t>
            </w:r>
          </w:p>
          <w:p>
            <w:pPr>
              <w:jc w:val="left"/>
              <w:rPr>
                <w:rFonts w:ascii="宋体" w:hAnsi="宋体"/>
                <w:szCs w:val="21"/>
              </w:rPr>
            </w:pPr>
            <w:r>
              <w:rPr>
                <w:rFonts w:hint="eastAsia" w:ascii="宋体" w:hAnsi="宋体"/>
              </w:rPr>
              <w:t>教育部全国青少年普法网</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kern w:val="0"/>
              </w:rPr>
              <w:t>江苏省中小学书香校园阅读基地</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kern w:val="0"/>
              </w:rPr>
              <w:t>2015．05</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kern w:val="0"/>
              </w:rPr>
              <w:t>江苏省委、江苏省全民阅读指导委员会</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江苏省平安校园</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2011.05</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江苏省教育厅</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省第十五届中学生田径运动会（苏南）</w:t>
            </w:r>
          </w:p>
          <w:p>
            <w:pPr>
              <w:jc w:val="left"/>
              <w:rPr>
                <w:rFonts w:ascii="宋体" w:hAnsi="宋体"/>
                <w:szCs w:val="21"/>
              </w:rPr>
            </w:pPr>
            <w:r>
              <w:rPr>
                <w:rFonts w:hint="eastAsia" w:ascii="宋体" w:hAnsi="宋体"/>
              </w:rPr>
              <w:t>高中女子组团体总分第三名</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2014.07</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江苏省教育厅</w:t>
            </w:r>
          </w:p>
          <w:p>
            <w:pPr>
              <w:jc w:val="left"/>
              <w:rPr>
                <w:rFonts w:ascii="宋体" w:hAnsi="宋体"/>
                <w:szCs w:val="21"/>
              </w:rPr>
            </w:pPr>
            <w:r>
              <w:rPr>
                <w:rFonts w:hint="eastAsia" w:ascii="宋体" w:hAnsi="宋体"/>
              </w:rPr>
              <w:t>江苏省体育局</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省第十五届中学生田径运动会（苏南）</w:t>
            </w:r>
          </w:p>
          <w:p>
            <w:pPr>
              <w:jc w:val="left"/>
              <w:rPr>
                <w:rFonts w:ascii="宋体" w:hAnsi="宋体"/>
                <w:szCs w:val="21"/>
              </w:rPr>
            </w:pPr>
            <w:r>
              <w:rPr>
                <w:rFonts w:hint="eastAsia" w:ascii="宋体" w:hAnsi="宋体"/>
              </w:rPr>
              <w:t>高中男子组团体总分第五名</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2014.07</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江苏省教育厅</w:t>
            </w:r>
          </w:p>
          <w:p>
            <w:pPr>
              <w:jc w:val="left"/>
              <w:rPr>
                <w:rFonts w:ascii="宋体" w:hAnsi="宋体"/>
                <w:szCs w:val="21"/>
              </w:rPr>
            </w:pPr>
            <w:r>
              <w:rPr>
                <w:rFonts w:hint="eastAsia" w:ascii="宋体" w:hAnsi="宋体"/>
              </w:rPr>
              <w:t>江苏省体育局</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kern w:val="0"/>
              </w:rPr>
              <w:t>档案工作达到《江苏省机关团体企业事业单位档案工作规范》三星级标准</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kern w:val="0"/>
              </w:rPr>
              <w:t>2015.01</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kern w:val="0"/>
              </w:rPr>
              <w:t>江苏省档案局</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科研基地</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2012.12</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江苏省教育学会、江苏省美术专业委员会</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Cs w:val="21"/>
              </w:rPr>
            </w:pPr>
            <w:r>
              <w:rPr>
                <w:rFonts w:hint="eastAsia" w:ascii="宋体" w:hAnsi="宋体"/>
                <w:kern w:val="0"/>
              </w:rPr>
              <w:t>2013-2015年度先进基层党支部</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kern w:val="0"/>
                <w:szCs w:val="21"/>
              </w:rPr>
            </w:pPr>
            <w:r>
              <w:rPr>
                <w:rFonts w:hint="eastAsia" w:ascii="宋体" w:hAnsi="宋体"/>
                <w:kern w:val="0"/>
              </w:rPr>
              <w:t>2015.06</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kern w:val="0"/>
                <w:szCs w:val="21"/>
              </w:rPr>
            </w:pPr>
            <w:r>
              <w:rPr>
                <w:rFonts w:hint="eastAsia" w:ascii="宋体" w:hAnsi="宋体"/>
                <w:kern w:val="0"/>
              </w:rPr>
              <w:t>中共常州市委</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先进基层党组织</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rPr>
            </w:pPr>
            <w:r>
              <w:rPr>
                <w:rFonts w:hint="eastAsia" w:ascii="宋体" w:hAnsi="宋体"/>
              </w:rPr>
              <w:t>2014.07</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rPr>
            </w:pPr>
            <w:r>
              <w:rPr>
                <w:rFonts w:hint="eastAsia" w:ascii="宋体" w:hAnsi="宋体"/>
              </w:rPr>
              <w:t>常州市委教育工委</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Cs w:val="21"/>
              </w:rPr>
            </w:pPr>
            <w:r>
              <w:rPr>
                <w:rFonts w:hint="eastAsia" w:ascii="宋体" w:hAnsi="宋体"/>
              </w:rPr>
              <w:t>常州市学校暑期社会志愿服务实践活动先进集体</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kern w:val="0"/>
                <w:szCs w:val="21"/>
              </w:rPr>
            </w:pPr>
            <w:r>
              <w:rPr>
                <w:rFonts w:hint="eastAsia" w:ascii="宋体" w:hAnsi="宋体"/>
              </w:rPr>
              <w:t>2014.10</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kern w:val="0"/>
                <w:szCs w:val="21"/>
              </w:rPr>
            </w:pPr>
            <w:r>
              <w:rPr>
                <w:rFonts w:hint="eastAsia" w:ascii="宋体" w:hAnsi="宋体"/>
              </w:rPr>
              <w:t>常州市教育局</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2013年度常州市教育系统优秀团组织</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2014.05</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共青团常州市委教育工作委员会</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2016年常州市高中阳光体育运动会三等奖</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2016.10</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常州市体育局</w:t>
            </w:r>
          </w:p>
          <w:p>
            <w:pPr>
              <w:jc w:val="left"/>
              <w:rPr>
                <w:rFonts w:ascii="宋体" w:hAnsi="宋体"/>
                <w:szCs w:val="21"/>
              </w:rPr>
            </w:pPr>
            <w:r>
              <w:rPr>
                <w:rFonts w:hint="eastAsia" w:ascii="宋体" w:hAnsi="宋体"/>
              </w:rPr>
              <w:t>常州市教育局</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2016年常州市高中阳光体育运动会高中排球比赛中荣获高中女子第三名</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2017.08</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常州市体育局</w:t>
            </w:r>
          </w:p>
          <w:p>
            <w:pPr>
              <w:jc w:val="left"/>
              <w:rPr>
                <w:rFonts w:ascii="宋体" w:hAnsi="宋体"/>
                <w:szCs w:val="21"/>
              </w:rPr>
            </w:pPr>
            <w:r>
              <w:rPr>
                <w:rFonts w:hint="eastAsia" w:ascii="宋体" w:hAnsi="宋体"/>
              </w:rPr>
              <w:t>常州市教育局</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常州市第九届“生命之水”主题教育活动荣获优秀组织奖</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2017.03</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常州市教育局</w:t>
            </w:r>
          </w:p>
          <w:p>
            <w:pPr>
              <w:jc w:val="left"/>
              <w:rPr>
                <w:rFonts w:ascii="宋体" w:hAnsi="宋体"/>
              </w:rPr>
            </w:pPr>
            <w:r>
              <w:rPr>
                <w:rFonts w:hint="eastAsia" w:ascii="宋体" w:hAnsi="宋体"/>
              </w:rPr>
              <w:t>常州市水利局</w:t>
            </w:r>
          </w:p>
          <w:p>
            <w:pPr>
              <w:jc w:val="left"/>
              <w:rPr>
                <w:rFonts w:ascii="宋体" w:hAnsi="宋体"/>
                <w:szCs w:val="21"/>
              </w:rPr>
            </w:pPr>
            <w:r>
              <w:rPr>
                <w:rFonts w:hint="eastAsia" w:ascii="宋体" w:hAnsi="宋体"/>
              </w:rPr>
              <w:t>共青团常州市委</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2016年度常州市学校“优秀团组织”</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2017.05</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共青团常州市委员会</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2016年度常州市教育系统优秀团组织</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2017.05</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共青团常州市委教育工作委员会</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第九届全国中小学生硬笔书法大赛江苏赛区常州地区比赛优秀组织奖</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2017.08</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第九届全国中小学生硬笔书法大赛江苏赛区组委会</w:t>
            </w:r>
          </w:p>
          <w:p>
            <w:pPr>
              <w:jc w:val="left"/>
              <w:rPr>
                <w:rFonts w:ascii="宋体" w:hAnsi="宋体"/>
                <w:szCs w:val="21"/>
              </w:rPr>
            </w:pPr>
            <w:r>
              <w:rPr>
                <w:rFonts w:hint="eastAsia" w:ascii="宋体" w:hAnsi="宋体"/>
              </w:rPr>
              <w:t>书法报社    现代快报社</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kern w:val="0"/>
              </w:rPr>
              <w:t>2014届普通高中全面实施素质教育工作一等奖</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kern w:val="0"/>
              </w:rPr>
              <w:t>2015.01</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kern w:val="0"/>
              </w:rPr>
              <w:t>武进区教育局</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kern w:val="0"/>
              </w:rPr>
              <w:t>2014届普通高中艺术、体育教育教学工作一等奖</w:t>
            </w:r>
          </w:p>
        </w:tc>
        <w:tc>
          <w:tcPr>
            <w:tcW w:w="1001" w:type="dxa"/>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kern w:val="0"/>
              </w:rPr>
              <w:t>2015.01</w:t>
            </w:r>
          </w:p>
        </w:tc>
        <w:tc>
          <w:tcPr>
            <w:tcW w:w="4228" w:type="dxa"/>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kern w:val="0"/>
              </w:rPr>
              <w:t>武进区教育局</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kern w:val="0"/>
              </w:rPr>
              <w:t>2014届普通高中全面实施素质教育工作本三达线贡献奖</w:t>
            </w:r>
          </w:p>
        </w:tc>
        <w:tc>
          <w:tcPr>
            <w:tcW w:w="1001" w:type="dxa"/>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kern w:val="0"/>
              </w:rPr>
              <w:t>2015.01</w:t>
            </w:r>
          </w:p>
        </w:tc>
        <w:tc>
          <w:tcPr>
            <w:tcW w:w="4228" w:type="dxa"/>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kern w:val="0"/>
              </w:rPr>
              <w:t>武进区教育局</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rPr>
              <w:t>2015届普通高中全面实施素质教育工作一等奖</w:t>
            </w:r>
          </w:p>
        </w:tc>
        <w:tc>
          <w:tcPr>
            <w:tcW w:w="1001" w:type="dxa"/>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rPr>
              <w:t>2016.01</w:t>
            </w:r>
          </w:p>
        </w:tc>
        <w:tc>
          <w:tcPr>
            <w:tcW w:w="4228" w:type="dxa"/>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rPr>
              <w:t>武进区教育局</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2015届普通高中艺术、体育教育教学工作一等奖</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2016.01</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武进区教育局</w:t>
            </w:r>
          </w:p>
        </w:tc>
      </w:tr>
      <w:tr>
        <w:tblPrEx>
          <w:tblLayout w:type="fixed"/>
          <w:tblCellMar>
            <w:top w:w="0" w:type="dxa"/>
            <w:left w:w="108" w:type="dxa"/>
            <w:bottom w:w="0" w:type="dxa"/>
            <w:right w:w="108" w:type="dxa"/>
          </w:tblCellMar>
        </w:tblPrEx>
        <w:trPr>
          <w:trHeight w:val="641"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2015届普通高中全面实施素质教育工作本三达线贡献奖</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2016.01</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武进区教育局</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2016届普通高中全面实施素质教育工作一等奖</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2017.01</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武进区教育局</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2015年度武进区教育系统基层工会工作考核二等奖</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2016.02</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武进区教育工会</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2013-2015年度武进区文明单位</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2016.02</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rPr>
              <w:t>中共武进区委教育工作委员会</w:t>
            </w:r>
          </w:p>
          <w:p>
            <w:pPr>
              <w:jc w:val="left"/>
              <w:rPr>
                <w:rFonts w:ascii="宋体" w:hAnsi="宋体"/>
                <w:szCs w:val="21"/>
              </w:rPr>
            </w:pPr>
            <w:r>
              <w:rPr>
                <w:rFonts w:hint="eastAsia" w:ascii="宋体" w:hAnsi="宋体"/>
                <w:color w:val="000000"/>
                <w:kern w:val="0"/>
              </w:rPr>
              <w:t>武进区教育局</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小记者协会</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2011.10</w:t>
            </w:r>
          </w:p>
        </w:tc>
        <w:tc>
          <w:tcPr>
            <w:tcW w:w="4228" w:type="dxa"/>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szCs w:val="21"/>
              </w:rPr>
            </w:pPr>
            <w:r>
              <w:rPr>
                <w:rFonts w:hint="eastAsia" w:ascii="宋体" w:hAnsi="宋体"/>
              </w:rPr>
              <w:t>武进区教育局</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二〇一三年度先进团委</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2014.02</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共青团武进区委员会</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二〇一三年度武进区宣传工作</w:t>
            </w:r>
          </w:p>
          <w:p>
            <w:pPr>
              <w:jc w:val="left"/>
              <w:rPr>
                <w:rFonts w:ascii="宋体" w:hAnsi="宋体"/>
                <w:kern w:val="0"/>
                <w:szCs w:val="21"/>
              </w:rPr>
            </w:pPr>
            <w:r>
              <w:rPr>
                <w:rFonts w:hint="eastAsia" w:ascii="宋体" w:hAnsi="宋体"/>
              </w:rPr>
              <w:t>先进集体</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kern w:val="0"/>
                <w:szCs w:val="21"/>
              </w:rPr>
            </w:pPr>
            <w:r>
              <w:rPr>
                <w:rFonts w:hint="eastAsia" w:ascii="宋体" w:hAnsi="宋体"/>
              </w:rPr>
              <w:t>2014.02</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kern w:val="0"/>
                <w:szCs w:val="21"/>
              </w:rPr>
            </w:pPr>
            <w:r>
              <w:rPr>
                <w:rFonts w:hint="eastAsia" w:ascii="宋体" w:hAnsi="宋体"/>
              </w:rPr>
              <w:t>共青团武进区委员会</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Cs w:val="21"/>
              </w:rPr>
            </w:pPr>
            <w:r>
              <w:rPr>
                <w:rFonts w:hint="eastAsia" w:ascii="宋体" w:hAnsi="宋体"/>
              </w:rPr>
              <w:t>2013年度武进区志愿服务先进集体</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kern w:val="0"/>
                <w:szCs w:val="21"/>
              </w:rPr>
            </w:pPr>
            <w:r>
              <w:rPr>
                <w:rFonts w:hint="eastAsia" w:ascii="宋体" w:hAnsi="宋体"/>
              </w:rPr>
              <w:t>2014.03</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共青团武进区委员会</w:t>
            </w:r>
          </w:p>
          <w:p>
            <w:pPr>
              <w:jc w:val="left"/>
              <w:rPr>
                <w:rFonts w:ascii="宋体" w:hAnsi="宋体"/>
                <w:kern w:val="0"/>
                <w:szCs w:val="21"/>
              </w:rPr>
            </w:pPr>
            <w:r>
              <w:rPr>
                <w:rFonts w:hint="eastAsia" w:ascii="宋体" w:hAnsi="宋体"/>
              </w:rPr>
              <w:t>武进区志愿者协会 区精神文明建设指导委员会办公室</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区中小学生田径赛高中组</w:t>
            </w:r>
          </w:p>
          <w:p>
            <w:pPr>
              <w:jc w:val="left"/>
              <w:rPr>
                <w:rFonts w:ascii="宋体" w:hAnsi="宋体"/>
                <w:kern w:val="0"/>
                <w:szCs w:val="21"/>
              </w:rPr>
            </w:pPr>
            <w:r>
              <w:rPr>
                <w:rFonts w:hint="eastAsia" w:ascii="宋体" w:hAnsi="宋体"/>
              </w:rPr>
              <w:t>团体总分第一</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kern w:val="0"/>
                <w:szCs w:val="21"/>
              </w:rPr>
            </w:pPr>
            <w:r>
              <w:rPr>
                <w:rFonts w:hint="eastAsia" w:ascii="宋体" w:hAnsi="宋体"/>
              </w:rPr>
              <w:t>2014.09</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武进区教育局</w:t>
            </w:r>
          </w:p>
          <w:p>
            <w:pPr>
              <w:jc w:val="left"/>
              <w:rPr>
                <w:rFonts w:ascii="宋体" w:hAnsi="宋体"/>
                <w:kern w:val="0"/>
                <w:szCs w:val="21"/>
              </w:rPr>
            </w:pPr>
            <w:r>
              <w:rPr>
                <w:rFonts w:hint="eastAsia" w:ascii="宋体" w:hAnsi="宋体"/>
              </w:rPr>
              <w:t>武进区体育局</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Cs w:val="21"/>
              </w:rPr>
            </w:pPr>
            <w:r>
              <w:rPr>
                <w:rFonts w:hint="eastAsia" w:ascii="宋体" w:hAnsi="宋体"/>
              </w:rPr>
              <w:t>武进区2014年度大中学生十佳社团</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kern w:val="0"/>
                <w:szCs w:val="21"/>
              </w:rPr>
            </w:pPr>
            <w:r>
              <w:rPr>
                <w:rFonts w:hint="eastAsia" w:ascii="宋体" w:hAnsi="宋体"/>
              </w:rPr>
              <w:t>2014.12</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共青团武进区委员会</w:t>
            </w:r>
          </w:p>
          <w:p>
            <w:pPr>
              <w:jc w:val="left"/>
              <w:rPr>
                <w:rFonts w:ascii="宋体" w:hAnsi="宋体"/>
                <w:kern w:val="0"/>
                <w:szCs w:val="21"/>
              </w:rPr>
            </w:pPr>
            <w:r>
              <w:rPr>
                <w:rFonts w:hint="eastAsia" w:ascii="宋体" w:hAnsi="宋体"/>
              </w:rPr>
              <w:t>武进区教育局</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Cs w:val="21"/>
              </w:rPr>
            </w:pPr>
            <w:r>
              <w:rPr>
                <w:rFonts w:hint="eastAsia" w:ascii="宋体" w:hAnsi="宋体"/>
                <w:kern w:val="0"/>
              </w:rPr>
              <w:t>2014年度红旗团支部</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kern w:val="0"/>
                <w:szCs w:val="21"/>
              </w:rPr>
            </w:pPr>
            <w:r>
              <w:rPr>
                <w:rFonts w:hint="eastAsia" w:ascii="宋体" w:hAnsi="宋体"/>
                <w:kern w:val="0"/>
              </w:rPr>
              <w:t>2015.01</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kern w:val="0"/>
                <w:szCs w:val="21"/>
              </w:rPr>
            </w:pPr>
            <w:r>
              <w:rPr>
                <w:rFonts w:hint="eastAsia" w:ascii="宋体" w:hAnsi="宋体"/>
                <w:kern w:val="0"/>
              </w:rPr>
              <w:t>共青团武进区委员会</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kern w:val="0"/>
              </w:rPr>
              <w:t>2014年度先进团委</w:t>
            </w:r>
          </w:p>
        </w:tc>
        <w:tc>
          <w:tcPr>
            <w:tcW w:w="1001" w:type="dxa"/>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kern w:val="0"/>
              </w:rPr>
              <w:t>2015.01</w:t>
            </w:r>
          </w:p>
        </w:tc>
        <w:tc>
          <w:tcPr>
            <w:tcW w:w="4228" w:type="dxa"/>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kern w:val="0"/>
              </w:rPr>
              <w:t>共青团武进区委员会</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kern w:val="0"/>
              </w:rPr>
              <w:t>第九届武进区大中学生社团巡礼活动优秀组织奖</w:t>
            </w:r>
          </w:p>
        </w:tc>
        <w:tc>
          <w:tcPr>
            <w:tcW w:w="1001" w:type="dxa"/>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kern w:val="0"/>
              </w:rPr>
              <w:t>2015.01</w:t>
            </w:r>
          </w:p>
        </w:tc>
        <w:tc>
          <w:tcPr>
            <w:tcW w:w="4228" w:type="dxa"/>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kern w:val="0"/>
              </w:rPr>
              <w:t>武进区教育局</w:t>
            </w:r>
          </w:p>
          <w:p>
            <w:pPr>
              <w:widowControl/>
              <w:jc w:val="left"/>
              <w:rPr>
                <w:rFonts w:ascii="宋体" w:hAnsi="宋体"/>
                <w:szCs w:val="21"/>
              </w:rPr>
            </w:pPr>
            <w:r>
              <w:rPr>
                <w:rFonts w:hint="eastAsia" w:ascii="宋体" w:hAnsi="宋体"/>
                <w:kern w:val="0"/>
              </w:rPr>
              <w:t>共青团常州市武进区委员会</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kern w:val="0"/>
              </w:rPr>
              <w:t>第九届武进区大中学生社团巡礼活动优秀社团</w:t>
            </w:r>
          </w:p>
        </w:tc>
        <w:tc>
          <w:tcPr>
            <w:tcW w:w="1001" w:type="dxa"/>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kern w:val="0"/>
              </w:rPr>
              <w:t>2015.01</w:t>
            </w:r>
          </w:p>
        </w:tc>
        <w:tc>
          <w:tcPr>
            <w:tcW w:w="4228" w:type="dxa"/>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kern w:val="0"/>
              </w:rPr>
              <w:t>武进区教育局</w:t>
            </w:r>
          </w:p>
          <w:p>
            <w:pPr>
              <w:widowControl/>
              <w:jc w:val="left"/>
              <w:rPr>
                <w:rFonts w:ascii="宋体" w:hAnsi="宋体"/>
                <w:szCs w:val="21"/>
              </w:rPr>
            </w:pPr>
            <w:r>
              <w:rPr>
                <w:rFonts w:hint="eastAsia" w:ascii="宋体" w:hAnsi="宋体"/>
                <w:kern w:val="0"/>
              </w:rPr>
              <w:t>共青团武进区委员会</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kern w:val="0"/>
              </w:rPr>
              <w:t>2015年武进区中小学生信息技术应用能力竞赛现场评比类活动高中组团体三等奖</w:t>
            </w:r>
          </w:p>
        </w:tc>
        <w:tc>
          <w:tcPr>
            <w:tcW w:w="1001" w:type="dxa"/>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kern w:val="0"/>
              </w:rPr>
              <w:t>2015.06</w:t>
            </w:r>
          </w:p>
        </w:tc>
        <w:tc>
          <w:tcPr>
            <w:tcW w:w="4228" w:type="dxa"/>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kern w:val="0"/>
              </w:rPr>
              <w:t>武进区教育局</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rPr>
              <w:t>2016年武进区中小学生排球比赛高中女子组第一名</w:t>
            </w:r>
          </w:p>
        </w:tc>
        <w:tc>
          <w:tcPr>
            <w:tcW w:w="1001" w:type="dxa"/>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rPr>
              <w:t>2016.07</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武进区教育局</w:t>
            </w:r>
          </w:p>
          <w:p>
            <w:pPr>
              <w:widowControl/>
              <w:jc w:val="left"/>
              <w:rPr>
                <w:rFonts w:ascii="宋体" w:hAnsi="宋体"/>
                <w:szCs w:val="21"/>
              </w:rPr>
            </w:pPr>
            <w:r>
              <w:rPr>
                <w:rFonts w:hint="eastAsia" w:ascii="宋体" w:hAnsi="宋体"/>
              </w:rPr>
              <w:t>武进区体育局</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2016年武进区中小学生信息技术应用能力竞赛现场评比类活动高中组团体三等奖</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2016.07</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武进区教育局</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2016年武进区中小学经典诵读比赛中教师组二等奖</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2016.12</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武进区区教育局</w:t>
            </w:r>
          </w:p>
        </w:tc>
      </w:tr>
      <w:tr>
        <w:tblPrEx>
          <w:tblLayout w:type="fixed"/>
          <w:tblCellMar>
            <w:top w:w="0" w:type="dxa"/>
            <w:left w:w="108" w:type="dxa"/>
            <w:bottom w:w="0" w:type="dxa"/>
            <w:right w:w="108" w:type="dxa"/>
          </w:tblCellMar>
        </w:tblPrEx>
        <w:trPr>
          <w:trHeight w:val="300" w:hRule="atLeast"/>
        </w:trPr>
        <w:tc>
          <w:tcPr>
            <w:tcW w:w="40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rPr>
              <w:t>2017年武进区中小学生排球比赛高中女子组第一名</w:t>
            </w:r>
          </w:p>
        </w:tc>
        <w:tc>
          <w:tcPr>
            <w:tcW w:w="100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2017.07</w:t>
            </w:r>
          </w:p>
        </w:tc>
        <w:tc>
          <w:tcPr>
            <w:tcW w:w="422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武进区教育局</w:t>
            </w:r>
          </w:p>
          <w:p>
            <w:pPr>
              <w:jc w:val="left"/>
              <w:rPr>
                <w:rFonts w:ascii="宋体" w:hAnsi="宋体"/>
                <w:szCs w:val="21"/>
              </w:rPr>
            </w:pPr>
            <w:r>
              <w:rPr>
                <w:rFonts w:hint="eastAsia" w:ascii="宋体" w:hAnsi="宋体"/>
              </w:rPr>
              <w:t>武进区体育局</w:t>
            </w:r>
          </w:p>
        </w:tc>
      </w:tr>
    </w:tbl>
    <w:p>
      <w:pPr>
        <w:jc w:val="left"/>
        <w:rPr>
          <w:rFonts w:ascii="宋体" w:hAnsi="宋体" w:cs="宋体"/>
          <w:szCs w:val="21"/>
        </w:rPr>
      </w:pPr>
    </w:p>
    <w:p>
      <w:pPr>
        <w:tabs>
          <w:tab w:val="left" w:pos="0"/>
        </w:tabs>
        <w:spacing w:line="560" w:lineRule="exact"/>
        <w:ind w:right="560"/>
        <w:jc w:val="left"/>
        <w:rPr>
          <w:rFonts w:ascii="宋体"/>
          <w:b/>
          <w:sz w:val="22"/>
          <w:szCs w:val="28"/>
        </w:rPr>
      </w:pPr>
    </w:p>
    <w:p>
      <w:pPr>
        <w:tabs>
          <w:tab w:val="left" w:pos="0"/>
        </w:tabs>
        <w:spacing w:line="560" w:lineRule="exact"/>
        <w:ind w:right="560"/>
        <w:jc w:val="left"/>
        <w:rPr>
          <w:rFonts w:ascii="宋体"/>
          <w:b/>
          <w:sz w:val="22"/>
          <w:szCs w:val="28"/>
        </w:rPr>
      </w:pPr>
    </w:p>
    <w:p>
      <w:pPr>
        <w:tabs>
          <w:tab w:val="left" w:pos="0"/>
        </w:tabs>
        <w:spacing w:line="560" w:lineRule="exact"/>
        <w:ind w:right="560"/>
        <w:jc w:val="left"/>
        <w:rPr>
          <w:rFonts w:ascii="宋体"/>
          <w:b/>
          <w:sz w:val="22"/>
          <w:szCs w:val="28"/>
        </w:rPr>
      </w:pPr>
    </w:p>
    <w:p>
      <w:pPr>
        <w:tabs>
          <w:tab w:val="left" w:pos="0"/>
        </w:tabs>
        <w:spacing w:line="560" w:lineRule="exact"/>
        <w:ind w:right="560"/>
        <w:jc w:val="left"/>
        <w:rPr>
          <w:rFonts w:ascii="宋体"/>
          <w:b/>
          <w:sz w:val="22"/>
          <w:szCs w:val="28"/>
        </w:rPr>
      </w:pPr>
    </w:p>
    <w:p>
      <w:pPr>
        <w:tabs>
          <w:tab w:val="left" w:pos="0"/>
        </w:tabs>
        <w:spacing w:line="560" w:lineRule="exact"/>
        <w:ind w:right="560"/>
        <w:jc w:val="left"/>
        <w:rPr>
          <w:rFonts w:ascii="宋体"/>
          <w:b/>
          <w:sz w:val="22"/>
          <w:szCs w:val="28"/>
        </w:rPr>
      </w:pPr>
    </w:p>
    <w:p>
      <w:pPr>
        <w:tabs>
          <w:tab w:val="left" w:pos="0"/>
        </w:tabs>
        <w:spacing w:line="560" w:lineRule="exact"/>
        <w:ind w:right="560"/>
        <w:jc w:val="left"/>
        <w:rPr>
          <w:rFonts w:ascii="宋体"/>
          <w:b/>
          <w:sz w:val="22"/>
          <w:szCs w:val="28"/>
        </w:rPr>
      </w:pPr>
    </w:p>
    <w:p>
      <w:pPr>
        <w:tabs>
          <w:tab w:val="left" w:pos="0"/>
        </w:tabs>
        <w:spacing w:line="560" w:lineRule="exact"/>
        <w:ind w:right="560"/>
        <w:rPr>
          <w:rFonts w:ascii="宋体"/>
          <w:b/>
          <w:sz w:val="22"/>
          <w:szCs w:val="28"/>
        </w:rPr>
      </w:pPr>
    </w:p>
    <w:p>
      <w:pPr>
        <w:tabs>
          <w:tab w:val="left" w:pos="0"/>
        </w:tabs>
        <w:spacing w:line="560" w:lineRule="exact"/>
        <w:ind w:right="560"/>
        <w:rPr>
          <w:rFonts w:ascii="宋体"/>
          <w:b/>
          <w:sz w:val="22"/>
          <w:szCs w:val="28"/>
        </w:rPr>
      </w:pPr>
      <w:r>
        <w:rPr>
          <w:rFonts w:hint="eastAsia" w:ascii="宋体"/>
          <w:b/>
          <w:sz w:val="22"/>
          <w:szCs w:val="28"/>
        </w:rPr>
        <w:t>19.学校发展规划</w:t>
      </w:r>
    </w:p>
    <w:tbl>
      <w:tblPr>
        <w:tblStyle w:val="14"/>
        <w:tblW w:w="92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trPr>
        <w:tc>
          <w:tcPr>
            <w:tcW w:w="9299" w:type="dxa"/>
          </w:tcPr>
          <w:p>
            <w:pPr>
              <w:adjustRightInd w:val="0"/>
              <w:snapToGrid w:val="0"/>
              <w:spacing w:line="360" w:lineRule="auto"/>
              <w:ind w:firstLine="562" w:firstLineChars="200"/>
              <w:jc w:val="center"/>
              <w:rPr>
                <w:rFonts w:ascii="黑体" w:hAnsi="黑体" w:eastAsia="黑体"/>
                <w:b/>
                <w:sz w:val="28"/>
                <w:szCs w:val="22"/>
              </w:rPr>
            </w:pPr>
            <w:r>
              <w:rPr>
                <w:rFonts w:hint="eastAsia" w:ascii="黑体" w:hAnsi="黑体" w:eastAsia="黑体"/>
                <w:b/>
                <w:sz w:val="28"/>
                <w:szCs w:val="22"/>
              </w:rPr>
              <w:t>文化立校 特色发展 全面提升办学品质</w:t>
            </w:r>
          </w:p>
          <w:p>
            <w:pPr>
              <w:adjustRightInd w:val="0"/>
              <w:snapToGrid w:val="0"/>
              <w:spacing w:line="360" w:lineRule="auto"/>
              <w:jc w:val="center"/>
              <w:rPr>
                <w:b/>
                <w:szCs w:val="21"/>
              </w:rPr>
            </w:pPr>
            <w:r>
              <w:rPr>
                <w:rFonts w:hint="eastAsia"/>
                <w:b/>
                <w:szCs w:val="21"/>
              </w:rPr>
              <w:t xml:space="preserve">  ——常州市武进区洛阳高级中学第五轮三年主动发展规划</w:t>
            </w:r>
          </w:p>
          <w:p>
            <w:pPr>
              <w:adjustRightInd w:val="0"/>
              <w:snapToGrid w:val="0"/>
              <w:spacing w:line="360" w:lineRule="auto"/>
              <w:ind w:firstLine="420" w:firstLineChars="200"/>
              <w:jc w:val="center"/>
              <w:rPr>
                <w:szCs w:val="21"/>
              </w:rPr>
            </w:pPr>
            <w:r>
              <w:rPr>
                <w:rFonts w:hint="eastAsia"/>
                <w:szCs w:val="21"/>
              </w:rPr>
              <w:t>（2017年9月——2020年8月）</w:t>
            </w:r>
          </w:p>
          <w:p>
            <w:pPr>
              <w:widowControl/>
              <w:shd w:val="clear" w:color="auto" w:fill="FFFFFF"/>
              <w:adjustRightInd w:val="0"/>
              <w:snapToGrid w:val="0"/>
              <w:spacing w:line="360" w:lineRule="auto"/>
              <w:ind w:firstLine="420" w:firstLineChars="200"/>
              <w:rPr>
                <w:rFonts w:ascii="宋体" w:hAnsi="宋体"/>
                <w:b/>
                <w:bCs/>
                <w:szCs w:val="21"/>
              </w:rPr>
            </w:pPr>
            <w:r>
              <w:rPr>
                <w:rFonts w:hint="eastAsia" w:ascii="宋体" w:hAnsi="宋体"/>
                <w:szCs w:val="21"/>
              </w:rPr>
              <w:t>为贯彻落实国家、省、市、区中长期教育改革与发展规划纲要和全国、省、市、区教育工作会议精神，加快学校内涵发展，加强学校文化建设，全面提升学校办学水平，在总结前一轮三年主动发展规划实施绩效的基础上，根据《常州市武进区教育事业十三五发展规划》，联系学校实际，研究制定本校新一轮三年主动发展规划。</w:t>
            </w:r>
          </w:p>
          <w:p>
            <w:pPr>
              <w:shd w:val="clear" w:color="auto" w:fill="FFFFFF"/>
              <w:snapToGrid w:val="0"/>
              <w:spacing w:line="360" w:lineRule="auto"/>
              <w:ind w:firstLine="482" w:firstLineChars="200"/>
              <w:jc w:val="center"/>
              <w:rPr>
                <w:rFonts w:ascii="宋体" w:hAnsi="宋体"/>
                <w:b/>
                <w:bCs/>
                <w:sz w:val="24"/>
                <w:szCs w:val="21"/>
              </w:rPr>
            </w:pPr>
            <w:r>
              <w:rPr>
                <w:rFonts w:hint="eastAsia" w:ascii="宋体" w:hAnsi="宋体"/>
                <w:b/>
                <w:bCs/>
                <w:sz w:val="24"/>
                <w:szCs w:val="21"/>
              </w:rPr>
              <w:t>第一部分  基本概况与现状分析</w:t>
            </w:r>
          </w:p>
          <w:p>
            <w:pPr>
              <w:widowControl/>
              <w:shd w:val="clear" w:color="auto" w:fill="FFFFFF"/>
              <w:adjustRightInd w:val="0"/>
              <w:snapToGrid w:val="0"/>
              <w:spacing w:line="360" w:lineRule="auto"/>
              <w:ind w:firstLine="422" w:firstLineChars="200"/>
              <w:jc w:val="left"/>
              <w:rPr>
                <w:rFonts w:ascii="宋体" w:hAnsi="宋体"/>
                <w:b/>
                <w:bCs/>
                <w:kern w:val="0"/>
                <w:szCs w:val="21"/>
              </w:rPr>
            </w:pPr>
            <w:r>
              <w:rPr>
                <w:rFonts w:hint="eastAsia" w:ascii="宋体" w:hAnsi="宋体"/>
                <w:b/>
                <w:bCs/>
                <w:kern w:val="0"/>
                <w:szCs w:val="21"/>
              </w:rPr>
              <w:t>一、基本概况</w:t>
            </w:r>
          </w:p>
          <w:p>
            <w:pPr>
              <w:adjustRightInd w:val="0"/>
              <w:snapToGrid w:val="0"/>
              <w:spacing w:line="360" w:lineRule="auto"/>
              <w:ind w:firstLine="420" w:firstLineChars="200"/>
              <w:rPr>
                <w:rFonts w:ascii="宋体" w:hAnsi="宋体"/>
                <w:szCs w:val="21"/>
              </w:rPr>
            </w:pPr>
            <w:r>
              <w:rPr>
                <w:rFonts w:hint="eastAsia" w:ascii="宋体" w:hAnsi="宋体"/>
                <w:szCs w:val="21"/>
              </w:rPr>
              <w:t>洛阳高级中学前身为创建于1956年的“武进县洛阳初级中学”，1968年起增设高中部，更名为“武进县洛阳中学”。1993年，学校征地120亩建设新校区，1996年秋整体搬迁至现校区，是当时全县率先异地新建的高中学校之一。1998年被评为常州市重点中学，2002年获评江苏省重点中学，2004年被转评为江苏省三星级普通高中。2013年5月，学校初高中分设，在现址成立“常州市武进区洛阳高级中学”。2014年3月，成功创建为江苏省四星级普通高中。</w:t>
            </w:r>
          </w:p>
          <w:p>
            <w:pPr>
              <w:adjustRightInd w:val="0"/>
              <w:snapToGrid w:val="0"/>
              <w:spacing w:line="360" w:lineRule="auto"/>
              <w:ind w:firstLine="420" w:firstLineChars="200"/>
              <w:rPr>
                <w:rFonts w:ascii="宋体" w:hAnsi="宋体"/>
                <w:szCs w:val="21"/>
              </w:rPr>
            </w:pPr>
            <w:r>
              <w:rPr>
                <w:rFonts w:hint="eastAsia" w:ascii="宋体" w:hAnsi="宋体"/>
                <w:szCs w:val="21"/>
              </w:rPr>
              <w:t>学校占地面积79626平方米，建筑面积48944 平方米。学校现有教学班30个，在校学生1399人，在编教职员工107人，其中专任教师97人。专任教师中，本科学历比例达100%，研究生学历</w:t>
            </w:r>
            <w:r>
              <w:rPr>
                <w:rFonts w:hint="eastAsia" w:ascii="宋体" w:hAnsi="宋体"/>
                <w:color w:val="000000"/>
                <w:szCs w:val="21"/>
              </w:rPr>
              <w:t>20</w:t>
            </w:r>
            <w:r>
              <w:rPr>
                <w:rFonts w:hint="eastAsia" w:ascii="宋体" w:hAnsi="宋体"/>
                <w:szCs w:val="21"/>
              </w:rPr>
              <w:t>人；其中中、高级职称80人，占教师总数的82%；市、区五级梯队教师32人，占比达到33%。学校秉承优良的办学传统，鲜明的艺术教育特色，依靠精干的师资队伍、精致的学校管理、出色的教育质量，赢得了社会各界的广泛赞誉，为学校进一步发展奠定了坚实的基础。</w:t>
            </w:r>
          </w:p>
          <w:p>
            <w:pPr>
              <w:adjustRightInd w:val="0"/>
              <w:snapToGrid w:val="0"/>
              <w:spacing w:line="360" w:lineRule="auto"/>
              <w:ind w:firstLine="422" w:firstLineChars="200"/>
              <w:rPr>
                <w:rFonts w:ascii="宋体" w:hAnsi="宋体"/>
                <w:b/>
                <w:szCs w:val="21"/>
              </w:rPr>
            </w:pPr>
            <w:r>
              <w:rPr>
                <w:rFonts w:hint="eastAsia" w:ascii="宋体" w:hAnsi="宋体"/>
                <w:b/>
                <w:szCs w:val="21"/>
              </w:rPr>
              <w:t>二、发展优势</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多年来，学校在教育行政部门、地方党委政府以及社会各界的大力支持下，与时俱进，砥砺奋进。学校以2014年创成江苏省四星级普通高中为契机，不断改善办学条件，积极推进课程改革，努力加快内涵发展，着力彰显艺术教育特色，取得了卓著的办学成果。学校教育教学质量稳步持续提高，“艺术教育”的办学特色鲜明。学校获得了江苏省艺术教育特色学校、江苏省平安校园、常州市文明单位、常州市德育特色学校等多项荣誉，连续十一年获武进区全面实施素质教育工作一等奖。</w:t>
            </w:r>
          </w:p>
          <w:p>
            <w:pPr>
              <w:widowControl/>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1．学校管理规范高效。</w:t>
            </w:r>
            <w:r>
              <w:rPr>
                <w:rFonts w:hint="eastAsia" w:ascii="宋体" w:hAnsi="宋体"/>
                <w:kern w:val="0"/>
                <w:szCs w:val="21"/>
              </w:rPr>
              <w:t>多年来，根据教育改革发展的新形势新要求，不断创新学校内部管理机制，建立起一套科学合理、规范和谐的，体现以人为本、引领主动发展的管理制度，形成了依法管理、民主管理、精细管理的工作机制和良好环境，学校管理规范有序、生动活泼、优质高效。</w:t>
            </w:r>
          </w:p>
          <w:p>
            <w:pPr>
              <w:widowControl/>
              <w:shd w:val="clear" w:color="auto" w:fill="FFFFFF"/>
              <w:adjustRightInd w:val="0"/>
              <w:snapToGrid w:val="0"/>
              <w:spacing w:line="360" w:lineRule="auto"/>
              <w:ind w:firstLine="422" w:firstLineChars="200"/>
              <w:jc w:val="left"/>
              <w:rPr>
                <w:rFonts w:ascii="宋体" w:hAnsi="宋体"/>
                <w:szCs w:val="21"/>
              </w:rPr>
            </w:pPr>
            <w:r>
              <w:rPr>
                <w:rFonts w:hint="eastAsia" w:ascii="宋体" w:hAnsi="宋体"/>
                <w:b/>
                <w:bCs/>
                <w:kern w:val="0"/>
                <w:szCs w:val="21"/>
              </w:rPr>
              <w:t>2．队伍建设卓有成效。</w:t>
            </w:r>
            <w:r>
              <w:rPr>
                <w:rFonts w:hint="eastAsia" w:ascii="宋体" w:hAnsi="宋体"/>
                <w:kern w:val="0"/>
                <w:szCs w:val="21"/>
              </w:rPr>
              <w:t>多年来，学校始终把队伍建设作为一项基础性工程来抓，采取扎实措施，努力造就一支敬业爱岗、乐于奉献、业务精湛、勇于创新的高素质教师队伍，广大教师的师德修养和专业发展水平不断提高，优秀教师群体初步建立。学校切实加强管理队伍的建设，领导班子和中层干部思想作风好，专业水平高，管理能力强。</w:t>
            </w:r>
            <w:r>
              <w:rPr>
                <w:rFonts w:hint="eastAsia" w:ascii="宋体" w:hAnsi="宋体"/>
                <w:szCs w:val="21"/>
              </w:rPr>
              <w:t>行政班子成员具有过硬的政治业务素质、良好的师德、丰富的经验、较强的能力，群众基础好，有事业心、责任心，赢得了教职工的信赖，</w:t>
            </w:r>
            <w:r>
              <w:rPr>
                <w:rFonts w:hint="eastAsia" w:ascii="宋体" w:hAnsi="宋体"/>
                <w:kern w:val="0"/>
                <w:szCs w:val="21"/>
              </w:rPr>
              <w:t>受到教育行政部门和广大教职工的好评。</w:t>
            </w:r>
          </w:p>
          <w:p>
            <w:pPr>
              <w:widowControl/>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3．学校文化丰厚浓郁。</w:t>
            </w:r>
            <w:r>
              <w:rPr>
                <w:rFonts w:hint="eastAsia" w:ascii="宋体" w:hAnsi="宋体"/>
                <w:kern w:val="0"/>
                <w:szCs w:val="21"/>
              </w:rPr>
              <w:t>在长期的办学过程中，积淀了浓厚的文化底蕴，学校坚持“让学生收获成功”的办学理念，着眼师生的全面发展，着眼培育艺术教育办学特色的发展目标。学校积极推进学校“行文化”建设，确立了“笃行”的校训，形成了 “厚德、弘毅、践行”的校风，“敬业、博学、慎行”的教风，“勤勉、有恒、敏行”的学风，创建了充满生机和活力的文化环境，开展了一系列丰富多彩、文明高雅的师生文化活动。学校文化立校、文化育人的意识不断增强，文化软实力不断增强。学校先后被评为“常州市生态园林单位”“全国中小学校园文化建设百佳创新学校”。</w:t>
            </w:r>
          </w:p>
          <w:p>
            <w:pPr>
              <w:widowControl/>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4．教学改革不断深化。</w:t>
            </w:r>
            <w:r>
              <w:rPr>
                <w:rFonts w:hint="eastAsia" w:ascii="宋体" w:hAnsi="宋体"/>
                <w:kern w:val="0"/>
                <w:szCs w:val="21"/>
              </w:rPr>
              <w:t>学校始终把学科课堂教学作为全面实施素质教育的主阵地来抓，以打造“生本课堂”为重点，以引领学生自主学习、培养学生学习能力为目标，建立起了以学生自主探究、自我评价为主要特征的“生本课堂”教学模式，课堂教学面貌发生了很大变化，教师的教学水平和学生的学习水平都有较大提高。学校被评为“全国科研兴教先进单位”。</w:t>
            </w:r>
          </w:p>
          <w:p>
            <w:pPr>
              <w:widowControl/>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5．课程建设成果显著。</w:t>
            </w:r>
            <w:r>
              <w:rPr>
                <w:rFonts w:hint="eastAsia" w:ascii="宋体" w:hAnsi="宋体"/>
                <w:kern w:val="0"/>
                <w:szCs w:val="21"/>
              </w:rPr>
              <w:t>学校一方面严格执行国家课程政策，认真落实各项国家课程和地方课程，同时以促进学生全面发展、富有个性地发展为目标，以创建艺术教育特色为重点，充分利用本地本校教育资源，积极开发多种形式的校本课程。开发实施了《礼仪与生活》《艺术与人生》《人生规划》等3门面向全体学生的校本必修课程，《美术鉴赏》《动漫文化》《生活中的化学》等近50门供学生选择的校本选修课程，其中《艺术与人生》《卡通的欣赏与制作》被评为省、市级优秀校本教材。同时学校以培养艺术特长为重点，组建了“素写淡然”等十多个纳入课外活动序列的学生社团。学校已构建起与国家课程相匹配的、适合学生发展需求的、支撑艺术教育特色的校本课程体系。</w:t>
            </w:r>
          </w:p>
          <w:p>
            <w:pPr>
              <w:widowControl/>
              <w:shd w:val="clear" w:color="auto" w:fill="FFFFFF"/>
              <w:adjustRightInd w:val="0"/>
              <w:snapToGrid w:val="0"/>
              <w:spacing w:line="360" w:lineRule="auto"/>
              <w:ind w:firstLine="422" w:firstLineChars="200"/>
              <w:jc w:val="left"/>
              <w:rPr>
                <w:rFonts w:ascii="宋体" w:hAnsi="宋体"/>
                <w:szCs w:val="21"/>
              </w:rPr>
            </w:pPr>
            <w:r>
              <w:rPr>
                <w:rFonts w:hint="eastAsia" w:ascii="宋体" w:hAnsi="宋体"/>
                <w:b/>
                <w:bCs/>
                <w:kern w:val="0"/>
                <w:szCs w:val="21"/>
              </w:rPr>
              <w:t>6．艺术品牌彰显效应。</w:t>
            </w:r>
            <w:r>
              <w:rPr>
                <w:rFonts w:hint="eastAsia" w:ascii="宋体" w:hAnsi="宋体"/>
                <w:kern w:val="0"/>
                <w:szCs w:val="21"/>
              </w:rPr>
              <w:t xml:space="preserve">学校开办艺术教育特色班已20年，多年来，坚持“以艺术教育特色为龙头，全面提升学校办学质量”的办学思路，通过课程建设、师资培养、高校支持等多种途径，着力打造“艺术教育特色品牌”，在艺术普及和艺术高考两方面均取得了辉煌成就。近年来，学校完成了包括“十二五”国家规划课题在内的多个艺术教育课题的研究任务，成为了国家级、省级艺术科研基地；学校还多次承办不同级别的艺术教育研讨会，成为我区名副其实的艺术特长生培养基地，对我区中小学艺术教育的改革发展起到了重要的示范作用和辐射作用。2010年，学校被评为江苏省艺术教育特色学校，成为了我区高中学段的唯一。2015年，学校成为中国美术学院在全国仅有的7所“生源培育基地实验学校”之一。 </w:t>
            </w:r>
            <w:r>
              <w:rPr>
                <w:rFonts w:hint="eastAsia" w:ascii="宋体" w:hAnsi="宋体"/>
                <w:szCs w:val="21"/>
              </w:rPr>
              <w:t>20年来，学校艺术教育形成为鲜明的特色品牌，享誉常武，辐射周边。学校培养了一大批身心健康，阳光开朗、才艺双全、学业有成的学生。多年来，学校每年都为“985”、“211工程”重点高校以及知名艺术院校输送大批人才。至2017年，学校有近50位同学考取中国美院、中央美院，毕业生遍布全国各大知名艺术院校。</w:t>
            </w:r>
          </w:p>
          <w:p>
            <w:pPr>
              <w:widowControl/>
              <w:shd w:val="clear" w:color="auto" w:fill="FFFFFF"/>
              <w:adjustRightInd w:val="0"/>
              <w:snapToGrid w:val="0"/>
              <w:spacing w:line="360" w:lineRule="auto"/>
              <w:ind w:firstLine="420" w:firstLineChars="200"/>
              <w:jc w:val="left"/>
              <w:rPr>
                <w:rFonts w:ascii="宋体" w:hAnsi="宋体"/>
                <w:kern w:val="0"/>
                <w:szCs w:val="21"/>
              </w:rPr>
            </w:pPr>
          </w:p>
          <w:p>
            <w:pPr>
              <w:adjustRightInd w:val="0"/>
              <w:snapToGrid w:val="0"/>
              <w:spacing w:line="360" w:lineRule="auto"/>
              <w:ind w:firstLine="422" w:firstLineChars="200"/>
              <w:rPr>
                <w:rFonts w:ascii="宋体" w:hAnsi="宋体"/>
                <w:b/>
                <w:szCs w:val="21"/>
              </w:rPr>
            </w:pPr>
            <w:r>
              <w:rPr>
                <w:rFonts w:hint="eastAsia" w:ascii="宋体" w:hAnsi="宋体"/>
                <w:b/>
                <w:szCs w:val="21"/>
              </w:rPr>
              <w:t>三、面临挑战</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szCs w:val="21"/>
              </w:rPr>
              <w:t>《国家中长期教育改革和发展规划纲要(2010-2020年)》提出：要 “推动普通高中多样化发展，促进办学体制多样化，扩大优质资源，推进培养模式多样化，满足不同潜质学生的发展需要，鼓励普通高中办出特色”。</w:t>
            </w:r>
            <w:r>
              <w:rPr>
                <w:rFonts w:hint="eastAsia" w:ascii="宋体" w:hAnsi="宋体"/>
                <w:kern w:val="0"/>
                <w:szCs w:val="21"/>
              </w:rPr>
              <w:t>普通高中创新培养模式，创建办学特色，提升文化品位，是全面提高素质教育实施水平的需要，是实现教育现代化的需要，也是学校进一步提升发展的重要生长点。学校必须坚持主动发展，内涵发展，特色发展，优质发展的发展策略，必须坚持走以艺术教育为重点的特色发展之路。未来发展中，学校面临着许多新的挑战。</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一是教师实施教育改革的理念和能力尚需提高。2018年，教育部将实施新的普通高中课程标准，普通高中的课程结构、课程目标内容、课程实施方式等将有重要改革。江苏省将启动高考“3+3”新模式，在高考科目设置、考试命题立意、考试内容和形式、招生录取机制等方面将会有大的调整。教师要及时更新教育理念，提升业务能力。学校优秀教师、名优教师群体有待进一步扩大。</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二是陈旧的设备设施制约教育现代化发展。随着教育事业的发展和教学改革的推进，学校基础设施和教学装备已相对陈旧，跟不上以互联网+和大数据分析为特征的智慧校园建设要求，不能满足学校深化教育教学改革和做大做强艺术教育特色的发展要求。学校教育教学硬件设施更新和专业技术人才培养需要同步提高。</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三是学校特色的德育工作机制尚需进一步完善。学校德育工作的时代感、针对性还需进一步提升；学校、家长、社区教育尚待优化整合；促进学生健康成长和自我发展的全员、全程、全方位系统性的德育机制有待进一步优化。</w:t>
            </w:r>
          </w:p>
          <w:p>
            <w:pPr>
              <w:widowControl/>
              <w:shd w:val="clear" w:color="auto" w:fill="FFFFFF"/>
              <w:adjustRightInd w:val="0"/>
              <w:snapToGrid w:val="0"/>
              <w:spacing w:line="360" w:lineRule="auto"/>
              <w:ind w:firstLine="482" w:firstLineChars="200"/>
              <w:jc w:val="center"/>
              <w:rPr>
                <w:rFonts w:ascii="楷体_GB2312" w:eastAsia="楷体_GB2312"/>
                <w:b/>
                <w:sz w:val="24"/>
                <w:szCs w:val="21"/>
              </w:rPr>
            </w:pPr>
            <w:r>
              <w:rPr>
                <w:rFonts w:hint="eastAsia" w:ascii="楷体_GB2312" w:eastAsia="楷体_GB2312"/>
                <w:b/>
                <w:sz w:val="24"/>
                <w:szCs w:val="21"/>
              </w:rPr>
              <w:t>第二部分  理念与目标</w:t>
            </w:r>
          </w:p>
          <w:p>
            <w:pPr>
              <w:widowControl/>
              <w:shd w:val="clear" w:color="auto" w:fill="FFFFFF"/>
              <w:snapToGrid w:val="0"/>
              <w:spacing w:line="360" w:lineRule="auto"/>
              <w:ind w:firstLine="422" w:firstLineChars="200"/>
              <w:jc w:val="left"/>
              <w:rPr>
                <w:rFonts w:ascii="宋体" w:hAnsi="宋体"/>
                <w:b/>
                <w:bCs/>
                <w:kern w:val="0"/>
                <w:szCs w:val="21"/>
              </w:rPr>
            </w:pPr>
            <w:r>
              <w:rPr>
                <w:rFonts w:hint="eastAsia" w:ascii="宋体" w:hAnsi="宋体"/>
                <w:b/>
                <w:bCs/>
                <w:kern w:val="0"/>
                <w:szCs w:val="21"/>
              </w:rPr>
              <w:t>一、办学理念：让学生收获成功</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 xml:space="preserve">学校将继续坚持“让学生收获成功”的办学理念，将继续以这一理念统领各项工作，指导各项改革。 </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让学生收获成功”是全面实施素质教育的基本要求，是“以人为本”教育理念的集中反映,能引起学生积极的情感体验，增强自信心，激发学习兴趣，发掘学习潜力，有利于学生塑造“阳光自信、积极向上”的精神风貌，为学生的未来的幸福人生奠基。</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让学生收获成功”是学校在多年教育改革发展的实践探索前行中形成的基本精神和成功经验。学校基于学生的个性特长和“最近发展区”构建学生多元的发展平台，以艺术教育特色为重点，发展多元教育，为学生差异发展、多样发展创造了条件。</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让学生收获成功”有利于引领教师不断丰富职业生涯，不断提高给学生提供成功机会的专业发展水平，在引领学生走向成功的过程中成就事业、发展自身，并由此实现学校的主动发展，内涵发展，特色发展，优质发展。</w:t>
            </w:r>
          </w:p>
          <w:p>
            <w:pPr>
              <w:widowControl/>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 xml:space="preserve">学校文化为：“行”文化   </w:t>
            </w:r>
            <w:r>
              <w:rPr>
                <w:rFonts w:hint="eastAsia" w:ascii="宋体" w:hAnsi="宋体"/>
                <w:kern w:val="0"/>
                <w:szCs w:val="21"/>
              </w:rPr>
              <w:t>“行”文化是对学校60年办学历史砥砺前行、勇于践行、矢志笃行的改革创新精神的高度概括和浓缩提炼。在新时代，学校赋予“行”文化以更加丰富的内涵。“行”既指行程、行事，也指品行、德行。学校确立“行”文化主题，倡导的是学习、工作的笃行，广大教师要慎行于教，全体同学要敏行而学，它较好地诠释了本校“让学生收获成功”的办学理念，也指明了达成艺术教育特色学校发展目标的路径。</w:t>
            </w:r>
          </w:p>
          <w:p>
            <w:pPr>
              <w:widowControl/>
              <w:shd w:val="clear" w:color="auto" w:fill="FFFFFF"/>
              <w:adjustRightInd w:val="0"/>
              <w:snapToGrid w:val="0"/>
              <w:spacing w:line="360" w:lineRule="auto"/>
              <w:ind w:firstLine="422" w:firstLineChars="200"/>
              <w:jc w:val="left"/>
              <w:rPr>
                <w:rFonts w:ascii="宋体" w:hAnsi="宋体"/>
                <w:b/>
                <w:kern w:val="0"/>
                <w:szCs w:val="21"/>
              </w:rPr>
            </w:pPr>
            <w:r>
              <w:rPr>
                <w:rFonts w:hint="eastAsia" w:ascii="宋体" w:hAnsi="宋体"/>
                <w:b/>
                <w:kern w:val="0"/>
                <w:szCs w:val="21"/>
              </w:rPr>
              <w:t>学校“三风”</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学校校训为：“笃行”</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校风：厚德、弘毅、践行。立德树人，意志坚定，永远争创一流，竭诚服务社会，办人民满意的教育。</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教风：敬业、博学、慎行。忠诚党的教育事业，用优秀师能和优良师德，正己及人，真诚服务学生。</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学风：勤勉、有恒、敏行。勤勉踏实，顽强耐锉，勇于实践创新，赤诚报效祖国。</w:t>
            </w:r>
          </w:p>
          <w:p>
            <w:pPr>
              <w:widowControl/>
              <w:shd w:val="clear" w:color="auto" w:fill="FFFFFF"/>
              <w:adjustRightInd w:val="0"/>
              <w:snapToGrid w:val="0"/>
              <w:spacing w:line="360" w:lineRule="auto"/>
              <w:ind w:firstLine="422" w:firstLineChars="200"/>
              <w:jc w:val="left"/>
              <w:rPr>
                <w:rFonts w:ascii="宋体" w:hAnsi="宋体"/>
                <w:b/>
                <w:bCs/>
                <w:kern w:val="0"/>
                <w:szCs w:val="21"/>
              </w:rPr>
            </w:pPr>
            <w:r>
              <w:rPr>
                <w:rFonts w:hint="eastAsia" w:ascii="宋体" w:hAnsi="宋体"/>
                <w:b/>
                <w:bCs/>
                <w:kern w:val="0"/>
                <w:szCs w:val="21"/>
              </w:rPr>
              <w:t>二、总体目标</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根据本校的办学理念、发展基础和当前教育改革发展的新形势，新三年发展的总体目标是：全面贯彻党的教育方针，创造性地实施素质教育，以继续打造艺术教育特色品牌为重点，进一步拓宽学生多元化发展之路，大力推进学校的主动发展，内涵发展，特色发展，优质发展，办人民满意的教育，让学生收获成功，努力把学校建成为有文化、有活力、高品质、高品位的现代化普通高中艺术特色学校。</w:t>
            </w:r>
          </w:p>
          <w:p>
            <w:pPr>
              <w:widowControl/>
              <w:shd w:val="clear" w:color="auto" w:fill="FFFFFF"/>
              <w:adjustRightInd w:val="0"/>
              <w:snapToGri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教师发展目标：建立健全教师队伍建设的工作机制，切实加强师德师能建设，锤炼一支师德高尚、业务精良、具有团队精神和创新意识的德艺双优的教师队伍。</w:t>
            </w:r>
          </w:p>
          <w:p>
            <w:pPr>
              <w:widowControl/>
              <w:shd w:val="clear" w:color="auto" w:fill="FFFFFF"/>
              <w:adjustRightInd w:val="0"/>
              <w:snapToGri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学生发展目标：根据立德树人、全面发展的素质教育要求，根据本校学生实际，</w:t>
            </w:r>
            <w:r>
              <w:rPr>
                <w:rFonts w:hint="eastAsia" w:ascii="宋体" w:hAnsi="宋体"/>
                <w:color w:val="000000"/>
                <w:szCs w:val="21"/>
              </w:rPr>
              <w:t>强化社会主义核心价值观教育，</w:t>
            </w:r>
            <w:r>
              <w:rPr>
                <w:rFonts w:hint="eastAsia" w:ascii="宋体" w:hAnsi="宋体"/>
                <w:color w:val="000000"/>
                <w:kern w:val="0"/>
                <w:szCs w:val="21"/>
              </w:rPr>
              <w:t>着力提高学生的综合素养，把学生培养成为身心健康、人格健全、学业优良、富有个性的时代青年。</w:t>
            </w:r>
          </w:p>
          <w:p>
            <w:pPr>
              <w:widowControl/>
              <w:shd w:val="clear" w:color="auto" w:fill="FFFFFF"/>
              <w:adjustRightInd w:val="0"/>
              <w:snapToGrid w:val="0"/>
              <w:spacing w:line="360" w:lineRule="auto"/>
              <w:ind w:firstLine="422" w:firstLineChars="200"/>
              <w:jc w:val="left"/>
              <w:rPr>
                <w:rFonts w:ascii="宋体" w:hAnsi="宋体"/>
                <w:b/>
                <w:bCs/>
                <w:kern w:val="0"/>
                <w:szCs w:val="21"/>
              </w:rPr>
            </w:pPr>
            <w:r>
              <w:rPr>
                <w:rFonts w:hint="eastAsia" w:ascii="宋体" w:hAnsi="宋体"/>
                <w:b/>
                <w:bCs/>
                <w:kern w:val="0"/>
                <w:szCs w:val="21"/>
              </w:rPr>
              <w:t>三、工作方针</w:t>
            </w:r>
          </w:p>
          <w:p>
            <w:pPr>
              <w:widowControl/>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坚持依法治校</w:t>
            </w:r>
            <w:r>
              <w:rPr>
                <w:rFonts w:hint="eastAsia" w:ascii="宋体" w:hAnsi="宋体"/>
                <w:kern w:val="0"/>
                <w:szCs w:val="21"/>
              </w:rPr>
              <w:t xml:space="preserve"> 坚持依法办学、依法管理、依法施教，依法维护学校和全体师生的合法权益。</w:t>
            </w:r>
          </w:p>
          <w:p>
            <w:pPr>
              <w:widowControl/>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 xml:space="preserve">坚持以人为本 </w:t>
            </w:r>
            <w:r>
              <w:rPr>
                <w:rFonts w:hint="eastAsia" w:ascii="宋体" w:hAnsi="宋体"/>
                <w:kern w:val="0"/>
                <w:szCs w:val="21"/>
              </w:rPr>
              <w:t>坚持以生为本，育人为本，积极引领学生自我教育、自主学习、自主管理。坚持教育发展以师为本，引领教师开拓创新，有志有为，促进专业发展，创造人生价值。</w:t>
            </w:r>
          </w:p>
          <w:p>
            <w:pPr>
              <w:widowControl/>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坚持文化育人</w:t>
            </w:r>
            <w:r>
              <w:rPr>
                <w:rFonts w:hint="eastAsia" w:ascii="宋体" w:hAnsi="宋体"/>
                <w:kern w:val="0"/>
                <w:szCs w:val="21"/>
              </w:rPr>
              <w:t xml:space="preserve"> 坚持以先进的思想引导人，以丰厚浓郁的文化氛围感染人，以有思想、有文化的教育教学活动潜移默化地影响人。</w:t>
            </w:r>
          </w:p>
          <w:p>
            <w:pPr>
              <w:widowControl/>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坚持质量为重</w:t>
            </w:r>
            <w:r>
              <w:rPr>
                <w:rFonts w:hint="eastAsia" w:ascii="宋体" w:hAnsi="宋体"/>
                <w:kern w:val="0"/>
                <w:szCs w:val="21"/>
              </w:rPr>
              <w:t xml:space="preserve"> 教学质量是学校发展的生命线。严格执行课程建设，努力通过深化“生本课堂”教学改革、优化教学管理、加强教学研究等工作来着力提高教学质量。</w:t>
            </w:r>
          </w:p>
          <w:p>
            <w:pPr>
              <w:widowControl/>
              <w:shd w:val="clear" w:color="auto" w:fill="FFFFFF"/>
              <w:adjustRightInd w:val="0"/>
              <w:snapToGrid w:val="0"/>
              <w:spacing w:line="360" w:lineRule="auto"/>
              <w:ind w:firstLine="422" w:firstLineChars="200"/>
              <w:jc w:val="left"/>
              <w:rPr>
                <w:rFonts w:ascii="宋体" w:hAnsi="宋体"/>
                <w:color w:val="000000"/>
                <w:kern w:val="0"/>
                <w:szCs w:val="21"/>
              </w:rPr>
            </w:pPr>
            <w:r>
              <w:rPr>
                <w:rFonts w:hint="eastAsia" w:ascii="宋体" w:hAnsi="宋体"/>
                <w:b/>
                <w:bCs/>
                <w:kern w:val="0"/>
                <w:szCs w:val="21"/>
              </w:rPr>
              <w:t>坚持创新发展</w:t>
            </w:r>
            <w:r>
              <w:rPr>
                <w:rFonts w:hint="eastAsia" w:ascii="宋体" w:hAnsi="宋体"/>
                <w:kern w:val="0"/>
                <w:szCs w:val="21"/>
              </w:rPr>
              <w:t xml:space="preserve"> 确立创新发展理念，坚持创新发展战略，带领教职员工大力发扬改革创新的时代精神，积极创新，依靠创新驱动促进内涵发展、培育教育特色。</w:t>
            </w:r>
          </w:p>
          <w:p>
            <w:pPr>
              <w:widowControl/>
              <w:shd w:val="clear" w:color="auto" w:fill="FFFFFF"/>
              <w:adjustRightInd w:val="0"/>
              <w:snapToGrid w:val="0"/>
              <w:spacing w:line="360" w:lineRule="auto"/>
              <w:ind w:firstLine="482" w:firstLineChars="200"/>
              <w:jc w:val="center"/>
              <w:rPr>
                <w:rFonts w:ascii="宋体" w:hAnsi="宋体"/>
                <w:b/>
                <w:bCs/>
                <w:kern w:val="0"/>
                <w:sz w:val="24"/>
                <w:szCs w:val="21"/>
              </w:rPr>
            </w:pPr>
            <w:r>
              <w:rPr>
                <w:rFonts w:hint="eastAsia" w:ascii="宋体" w:hAnsi="宋体"/>
                <w:b/>
                <w:bCs/>
                <w:kern w:val="0"/>
                <w:sz w:val="24"/>
                <w:szCs w:val="21"/>
              </w:rPr>
              <w:t>第三部分  实施思路与具体策略</w:t>
            </w:r>
          </w:p>
          <w:p>
            <w:pPr>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根据学校改革发展的重点目标，将设立研究项目，行政推动与学术研究相结合，着力实施六大工程。</w:t>
            </w:r>
          </w:p>
          <w:p>
            <w:pPr>
              <w:shd w:val="clear" w:color="auto" w:fill="FFFFFF"/>
              <w:adjustRightInd w:val="0"/>
              <w:snapToGrid w:val="0"/>
              <w:spacing w:line="360" w:lineRule="auto"/>
              <w:jc w:val="left"/>
              <w:rPr>
                <w:rFonts w:ascii="宋体" w:hAnsi="宋体"/>
                <w:b/>
                <w:bCs/>
                <w:kern w:val="0"/>
                <w:szCs w:val="21"/>
              </w:rPr>
            </w:pPr>
            <w:r>
              <w:rPr>
                <w:rFonts w:hint="eastAsia" w:ascii="宋体" w:hAnsi="宋体"/>
                <w:b/>
                <w:bCs/>
                <w:kern w:val="0"/>
                <w:szCs w:val="21"/>
              </w:rPr>
              <w:t>一、实施管理创新建设工程，着力推进学校制度建设。</w:t>
            </w:r>
          </w:p>
          <w:p>
            <w:pPr>
              <w:widowControl/>
              <w:shd w:val="clear" w:color="auto" w:fill="FFFFFF"/>
              <w:adjustRightInd w:val="0"/>
              <w:snapToGrid w:val="0"/>
              <w:spacing w:line="360" w:lineRule="auto"/>
              <w:ind w:firstLine="420" w:firstLineChars="200"/>
              <w:jc w:val="left"/>
              <w:rPr>
                <w:rFonts w:ascii="宋体" w:hAnsi="宋体"/>
                <w:b/>
                <w:szCs w:val="21"/>
              </w:rPr>
            </w:pPr>
            <w:r>
              <w:rPr>
                <w:rFonts w:hint="eastAsia" w:ascii="宋体" w:hAnsi="宋体"/>
                <w:kern w:val="0"/>
                <w:szCs w:val="21"/>
              </w:rPr>
              <w:t>根据《江苏省中小学管理规范》和当前教育改革发展的新形势、新要求，</w:t>
            </w:r>
            <w:r>
              <w:rPr>
                <w:rFonts w:hint="eastAsia" w:ascii="宋体" w:hAnsi="宋体"/>
                <w:szCs w:val="21"/>
              </w:rPr>
              <w:t>积极推进“依法办学、自主管理、民主监督、社会参与”的现代学校制度建设，构建起以目标计划为导向、过程管理为核心、师生主动发展为动力、业绩考评为杠杆的管理机制，着力提高学校管理的品质与水平。</w:t>
            </w:r>
          </w:p>
          <w:p>
            <w:pPr>
              <w:adjustRightInd w:val="0"/>
              <w:snapToGrid w:val="0"/>
              <w:spacing w:line="360" w:lineRule="auto"/>
              <w:ind w:firstLine="422" w:firstLineChars="200"/>
              <w:rPr>
                <w:rFonts w:ascii="宋体" w:hAnsi="宋体"/>
                <w:szCs w:val="21"/>
              </w:rPr>
            </w:pPr>
            <w:r>
              <w:rPr>
                <w:rFonts w:hint="eastAsia" w:ascii="宋体" w:hAnsi="宋体"/>
                <w:b/>
                <w:szCs w:val="21"/>
              </w:rPr>
              <w:t>1.进一步完善管理制度。</w:t>
            </w:r>
            <w:r>
              <w:rPr>
                <w:rFonts w:hint="eastAsia" w:ascii="宋体" w:hAnsi="宋体"/>
                <w:szCs w:val="21"/>
              </w:rPr>
              <w:t>坚持依法办学、以人为本，根据教育改革发展的新形势新要求，依据有关法律法规和教育政策，结合本校教育教学和师生发展实际，对学校章程和管理制度进行全面修订，进一步建立健全突出规范精致、激励主动发展的管理制度体系。研究重建教师岗位职责和教学工作常规，进一步修订学生行为规范和学习常规。</w:t>
            </w:r>
          </w:p>
          <w:p>
            <w:pPr>
              <w:adjustRightInd w:val="0"/>
              <w:snapToGrid w:val="0"/>
              <w:spacing w:line="360" w:lineRule="auto"/>
              <w:ind w:firstLine="422" w:firstLineChars="200"/>
              <w:rPr>
                <w:rFonts w:ascii="宋体" w:hAnsi="宋体"/>
                <w:color w:val="000000"/>
                <w:szCs w:val="21"/>
              </w:rPr>
            </w:pPr>
            <w:r>
              <w:rPr>
                <w:rFonts w:hint="eastAsia" w:ascii="宋体" w:hAnsi="宋体"/>
                <w:b/>
                <w:szCs w:val="21"/>
              </w:rPr>
              <w:t>2.进一步创新管理机制。</w:t>
            </w:r>
            <w:r>
              <w:rPr>
                <w:rFonts w:hint="eastAsia" w:ascii="宋体" w:hAnsi="宋体"/>
                <w:szCs w:val="21"/>
              </w:rPr>
              <w:t>根据学校章程，进一步完善校长负责制、党支部保证监督制度、教职工代表大会制度，</w:t>
            </w:r>
            <w:r>
              <w:rPr>
                <w:rFonts w:hint="eastAsia" w:ascii="宋体" w:hAnsi="宋体"/>
                <w:color w:val="000000"/>
                <w:szCs w:val="21"/>
              </w:rPr>
              <w:t>完善民主与集中相统一的决策机制。进一步健全条块结合、重心下移的“扁平式”工作机制，使各部门各层面职责明确、分工负责，上下衔接、相互协作，既服从统一要求，又自主创新发展。进一步优化目标管理和过程管理，形成科学目标引领、精细过程督导、业绩考评激励的管理模式。通过传承和创新，构建起规范精细、顺畅高效的管理机制。</w:t>
            </w:r>
          </w:p>
          <w:p>
            <w:pPr>
              <w:adjustRightInd w:val="0"/>
              <w:snapToGrid w:val="0"/>
              <w:spacing w:line="360" w:lineRule="auto"/>
              <w:ind w:firstLine="422" w:firstLineChars="200"/>
              <w:rPr>
                <w:rFonts w:ascii="宋体" w:hAnsi="宋体"/>
                <w:color w:val="000000"/>
                <w:szCs w:val="21"/>
              </w:rPr>
            </w:pPr>
            <w:r>
              <w:rPr>
                <w:rFonts w:hint="eastAsia" w:ascii="宋体" w:hAnsi="宋体"/>
                <w:b/>
                <w:szCs w:val="21"/>
              </w:rPr>
              <w:t>3.进一步健全考评机制。</w:t>
            </w:r>
            <w:r>
              <w:rPr>
                <w:rFonts w:hint="eastAsia" w:ascii="宋体" w:hAnsi="宋体"/>
                <w:color w:val="000000"/>
                <w:szCs w:val="21"/>
              </w:rPr>
              <w:t>修改完善考核评价细则，通过自我总结反思、教师民主评议、行政考核评价等相结合的评价方式，加强对行政人员工作的评价。</w:t>
            </w:r>
            <w:r>
              <w:rPr>
                <w:rFonts w:hint="eastAsia" w:ascii="宋体" w:hAnsi="宋体"/>
                <w:szCs w:val="21"/>
              </w:rPr>
              <w:t>本着重师德、重绩效、重激励的原则，修改完善各类教职工考评奖励制度，每年评选表彰一批师德高尚、业务精湛、学生爱戴的优秀教师。本着重素养、重过程、重激励的原则，</w:t>
            </w:r>
            <w:r>
              <w:rPr>
                <w:rFonts w:hint="eastAsia" w:ascii="宋体" w:hAnsi="宋体"/>
                <w:color w:val="000000"/>
                <w:szCs w:val="21"/>
              </w:rPr>
              <w:t>根据学生发展综合素养的基本要求和本校确定的学生培养目标，修改完善学生综合素质考评制度和“学生成长档案袋”制度。每学期对每位学生进行一次素质发展综合评价，每年开展学生评优评先活动，充分发挥评价对学生成长的导向功能和激励作用。</w:t>
            </w:r>
          </w:p>
          <w:p>
            <w:pPr>
              <w:adjustRightInd w:val="0"/>
              <w:snapToGrid w:val="0"/>
              <w:spacing w:line="360" w:lineRule="auto"/>
              <w:ind w:firstLine="422" w:firstLineChars="200"/>
              <w:rPr>
                <w:rFonts w:ascii="宋体" w:hAnsi="宋体"/>
                <w:color w:val="000000"/>
                <w:szCs w:val="21"/>
              </w:rPr>
            </w:pPr>
            <w:r>
              <w:rPr>
                <w:rFonts w:hint="eastAsia" w:ascii="宋体" w:hAnsi="宋体"/>
                <w:b/>
                <w:color w:val="000000"/>
                <w:szCs w:val="21"/>
              </w:rPr>
              <w:t>4.进一步扩大社会参与。</w:t>
            </w:r>
            <w:r>
              <w:rPr>
                <w:rFonts w:hint="eastAsia" w:ascii="宋体" w:hAnsi="宋体"/>
                <w:color w:val="000000"/>
                <w:szCs w:val="21"/>
              </w:rPr>
              <w:t>加强学校与家长、社会的合作交流，扩大家长和社会对学校发展的知情权、参与权和监督权。将进一步完善家长委员会制度、家长接待日制度，切实保障广大家长对学校管理和教育教学的知情权、监督权。建立走出去、请进来的学校与社区合作机制，以广泛动员社会各界参与学校的管理和建设。</w:t>
            </w:r>
          </w:p>
          <w:p>
            <w:pPr>
              <w:widowControl/>
              <w:shd w:val="clear" w:color="auto" w:fill="FFFFFF"/>
              <w:adjustRightInd w:val="0"/>
              <w:snapToGrid w:val="0"/>
              <w:spacing w:line="360" w:lineRule="auto"/>
              <w:ind w:firstLine="422" w:firstLineChars="200"/>
              <w:jc w:val="left"/>
              <w:rPr>
                <w:rFonts w:ascii="宋体" w:hAnsi="宋体"/>
                <w:b/>
                <w:bCs/>
                <w:kern w:val="0"/>
                <w:szCs w:val="21"/>
              </w:rPr>
            </w:pPr>
            <w:r>
              <w:rPr>
                <w:rFonts w:hint="eastAsia" w:ascii="宋体" w:hAnsi="宋体"/>
                <w:b/>
                <w:szCs w:val="21"/>
              </w:rPr>
              <w:t>5.进一步加强管理队伍建设。</w:t>
            </w:r>
            <w:r>
              <w:rPr>
                <w:rFonts w:hint="eastAsia" w:ascii="宋体" w:hAnsi="宋体"/>
                <w:kern w:val="0"/>
                <w:szCs w:val="21"/>
              </w:rPr>
              <w:t>着力建设一支“务实、创新、高效、和谐”的高素质学校干部队伍，努力提高学校中层干部的管理水平。</w:t>
            </w:r>
            <w:r>
              <w:rPr>
                <w:rFonts w:hint="eastAsia" w:ascii="宋体" w:hAnsi="宋体"/>
                <w:szCs w:val="21"/>
              </w:rPr>
              <w:t>健全各处室中层干部竞聘上岗制，建立能上能下的用人机制，选拔理念新、作风正、能力强、工作实的优秀教师充实管理队伍。将加强对管理人员的业务培训、专业指导、跟岗锻炼和考评评价，着力提高领导班子、全体管理人员的品德修养和管理水平。</w:t>
            </w:r>
          </w:p>
          <w:p>
            <w:pPr>
              <w:widowControl/>
              <w:numPr>
                <w:ilvl w:val="0"/>
                <w:numId w:val="1"/>
              </w:numPr>
              <w:shd w:val="clear" w:color="auto" w:fill="FFFFFF"/>
              <w:adjustRightInd w:val="0"/>
              <w:snapToGrid w:val="0"/>
              <w:spacing w:line="360" w:lineRule="auto"/>
              <w:ind w:firstLine="422" w:firstLineChars="200"/>
              <w:jc w:val="left"/>
              <w:rPr>
                <w:rFonts w:ascii="宋体" w:hAnsi="宋体"/>
                <w:b/>
                <w:bCs/>
                <w:kern w:val="0"/>
                <w:szCs w:val="21"/>
              </w:rPr>
            </w:pPr>
            <w:r>
              <w:rPr>
                <w:rFonts w:hint="eastAsia" w:ascii="宋体" w:hAnsi="宋体"/>
                <w:b/>
                <w:bCs/>
                <w:kern w:val="0"/>
                <w:szCs w:val="21"/>
              </w:rPr>
              <w:t>实施“行”文化建设工程，着力推进学校文化建设。</w:t>
            </w:r>
          </w:p>
          <w:p>
            <w:pPr>
              <w:widowControl/>
              <w:shd w:val="clear" w:color="auto" w:fill="FFFFFF"/>
              <w:adjustRightInd w:val="0"/>
              <w:snapToGrid w:val="0"/>
              <w:spacing w:line="360" w:lineRule="auto"/>
              <w:ind w:firstLine="630" w:firstLineChars="300"/>
              <w:jc w:val="left"/>
              <w:rPr>
                <w:rFonts w:ascii="宋体" w:hAnsi="宋体"/>
                <w:kern w:val="0"/>
                <w:szCs w:val="21"/>
              </w:rPr>
            </w:pPr>
            <w:r>
              <w:rPr>
                <w:rFonts w:hint="eastAsia" w:ascii="宋体" w:hAnsi="宋体"/>
                <w:kern w:val="0"/>
                <w:szCs w:val="21"/>
              </w:rPr>
              <w:t>学校以“行”文化为主题，以艺术教育特色为重点，进一步加强学校文化建设，引领学校内涵发展，提升学校文化品位。</w:t>
            </w:r>
          </w:p>
          <w:p>
            <w:pPr>
              <w:widowControl/>
              <w:shd w:val="clear" w:color="auto" w:fill="FFFFFF"/>
              <w:adjustRightInd w:val="0"/>
              <w:snapToGrid w:val="0"/>
              <w:spacing w:line="360" w:lineRule="auto"/>
              <w:ind w:firstLine="420" w:firstLineChars="200"/>
              <w:jc w:val="left"/>
              <w:rPr>
                <w:rFonts w:ascii="宋体" w:hAnsi="宋体"/>
                <w:color w:val="000000"/>
                <w:szCs w:val="21"/>
              </w:rPr>
            </w:pPr>
            <w:r>
              <w:rPr>
                <w:rFonts w:hint="eastAsia" w:ascii="宋体" w:hAnsi="宋体"/>
                <w:kern w:val="0"/>
                <w:szCs w:val="21"/>
              </w:rPr>
              <w:t>学校将根据“让学生收获成功”的办学理念和发展艺术教育特色的发展目标，切实加强以“行”文化为主题的、面向全体师生的、由全体师生共同参与的学校文化建设。</w:t>
            </w:r>
            <w:r>
              <w:rPr>
                <w:rFonts w:hint="eastAsia" w:ascii="宋体" w:hAnsi="宋体"/>
                <w:color w:val="000000"/>
                <w:szCs w:val="21"/>
              </w:rPr>
              <w:t>开展“6+1”(“6”即理想信念夯实、校园精神引领、道德实践养成、多彩活动提升、清朗网络助力、主题氛围营造，“1”即校园特色文化提炼，打造“美丽校园、快乐校园、幸福校园”。 )文化校园创建活动，提升校园文化的品质。</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学校将大力开展多种形式的“一训三风”宣传教育活动，在全校大力弘扬修德进学、笃行致远、敬业慎行、勤勉敏行的精神，大力营造激励师生积极进取、开拓创新、勤奋学习、主动发展的校园精神风貌。</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学校将以“行文化”要求全面渗透到师德师风建设和学生德育建设中，全面提升师生道德素养，推进道德实践养成。</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学校将大力开展聚焦“行文化”、彰显艺术性的生动活泼的文化活动。将结合德育活动、综合实践活动、研究性学习、文化社团活动等，构建促进学生健康发展的文化活动系列，不断丰富学生文化生活。将开展丰富的文体活动，提升教师职业幸福感。</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学校将坚持以课程落实文化建设。开发“行文化”主题和实施以艺术教育特色品牌创建为重点的，支持学生发展个性特长、实现多样发展的校本课程，将进一步完善和实施《人生规划》《礼仪与生活》《艺术与人生》等必修校本课程，进一步开发实施以艺术为重点的，支持学生发展个性特长、实现多样发展的选修校本课程，。</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学校将进一步办好学校网站、校刊、校园微信平台，坚持传播正能量，引导正确舆论导向，传递学校声音，服务学校师生，赢得社会的关注和支持。</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学校将以“行”为主题，全面规划建设校园文化环境和文化设施，让每一面墙壁都说话，让每一个角落都育人，充分发挥环境育人的作用。学校将发动全体师生积极参与，着力建设积极向上、优美高雅、温馨和谐的办公室文化、教室文化和宿舍文化。</w:t>
            </w:r>
          </w:p>
          <w:p>
            <w:pPr>
              <w:numPr>
                <w:ilvl w:val="0"/>
                <w:numId w:val="2"/>
              </w:numPr>
              <w:adjustRightInd w:val="0"/>
              <w:snapToGrid w:val="0"/>
              <w:spacing w:line="360" w:lineRule="auto"/>
              <w:ind w:firstLine="422" w:firstLineChars="200"/>
              <w:rPr>
                <w:rFonts w:ascii="宋体" w:hAnsi="宋体"/>
                <w:b/>
                <w:bCs/>
                <w:kern w:val="0"/>
                <w:szCs w:val="21"/>
              </w:rPr>
            </w:pPr>
            <w:r>
              <w:rPr>
                <w:rFonts w:hint="eastAsia" w:ascii="宋体" w:hAnsi="宋体"/>
                <w:b/>
                <w:bCs/>
                <w:kern w:val="0"/>
                <w:szCs w:val="21"/>
              </w:rPr>
              <w:t>实施生命教育建设工程，着力</w:t>
            </w:r>
            <w:r>
              <w:rPr>
                <w:rFonts w:hint="eastAsia" w:ascii="宋体" w:hAnsi="宋体"/>
                <w:b/>
                <w:szCs w:val="21"/>
              </w:rPr>
              <w:t>拓展德育的有效途径</w:t>
            </w:r>
            <w:r>
              <w:rPr>
                <w:rFonts w:hint="eastAsia" w:ascii="宋体" w:hAnsi="宋体"/>
                <w:b/>
                <w:bCs/>
                <w:kern w:val="0"/>
                <w:szCs w:val="21"/>
              </w:rPr>
              <w:t>。</w:t>
            </w:r>
          </w:p>
          <w:p>
            <w:pPr>
              <w:adjustRightInd w:val="0"/>
              <w:snapToGrid w:val="0"/>
              <w:spacing w:line="360" w:lineRule="auto"/>
              <w:ind w:firstLine="420" w:firstLineChars="200"/>
              <w:rPr>
                <w:szCs w:val="21"/>
              </w:rPr>
            </w:pPr>
            <w:r>
              <w:rPr>
                <w:rFonts w:hint="eastAsia"/>
                <w:szCs w:val="21"/>
              </w:rPr>
              <w:t>学校将继续坚持立德树人、德育为先，大力培育和践行社会主义核心价值观，</w:t>
            </w:r>
            <w:r>
              <w:rPr>
                <w:rFonts w:hint="eastAsia" w:ascii="宋体" w:hAnsi="宋体"/>
                <w:kern w:val="0"/>
                <w:szCs w:val="21"/>
              </w:rPr>
              <w:t>以“热爱生活”的生命教育为基础，</w:t>
            </w:r>
            <w:r>
              <w:rPr>
                <w:rFonts w:hint="eastAsia"/>
                <w:szCs w:val="21"/>
              </w:rPr>
              <w:t>以促进学生形成良好行为习惯为重点，坚持学校教育与家庭教育、社会教育相结合的方针，实施生命教育建设工程，着力拓展德育的有效途径。</w:t>
            </w:r>
          </w:p>
          <w:p>
            <w:pPr>
              <w:numPr>
                <w:ilvl w:val="0"/>
                <w:numId w:val="3"/>
              </w:numPr>
              <w:adjustRightInd w:val="0"/>
              <w:snapToGrid w:val="0"/>
              <w:spacing w:line="360" w:lineRule="auto"/>
              <w:ind w:firstLine="422" w:firstLineChars="200"/>
              <w:rPr>
                <w:rFonts w:ascii="宋体" w:hAnsi="宋体"/>
                <w:szCs w:val="21"/>
              </w:rPr>
            </w:pPr>
            <w:r>
              <w:rPr>
                <w:rFonts w:hint="eastAsia" w:ascii="宋体" w:hAnsi="宋体"/>
                <w:b/>
                <w:bCs/>
                <w:szCs w:val="21"/>
              </w:rPr>
              <w:t>强化社会主义核心价值观教育</w:t>
            </w:r>
            <w:r>
              <w:rPr>
                <w:rFonts w:hint="eastAsia" w:ascii="宋体" w:hAnsi="宋体"/>
                <w:szCs w:val="21"/>
              </w:rPr>
              <w:t>。探索构建以社会主义核心价值观为主要内容的德育系列主题，将核心价值观教育与学校的常规德育内容高度整合，建立和健全学校德育工作的各种机制，切实提高德育的针对性、科学性、实效性。</w:t>
            </w:r>
          </w:p>
          <w:p>
            <w:pPr>
              <w:adjustRightInd w:val="0"/>
              <w:snapToGrid w:val="0"/>
              <w:spacing w:line="360" w:lineRule="auto"/>
              <w:ind w:firstLine="422" w:firstLineChars="200"/>
              <w:rPr>
                <w:rFonts w:ascii="宋体" w:hAnsi="宋体"/>
                <w:szCs w:val="21"/>
              </w:rPr>
            </w:pPr>
            <w:r>
              <w:rPr>
                <w:rFonts w:hint="eastAsia" w:ascii="宋体" w:hAnsi="宋体"/>
                <w:b/>
                <w:bCs/>
                <w:szCs w:val="21"/>
              </w:rPr>
              <w:t>2、精心构建四大平台提升德育实效性</w:t>
            </w:r>
            <w:r>
              <w:rPr>
                <w:rFonts w:hint="eastAsia" w:ascii="宋体" w:hAnsi="宋体"/>
                <w:szCs w:val="21"/>
              </w:rPr>
              <w:t>。</w:t>
            </w:r>
          </w:p>
          <w:p>
            <w:pPr>
              <w:adjustRightInd w:val="0"/>
              <w:snapToGrid w:val="0"/>
              <w:spacing w:line="360" w:lineRule="auto"/>
              <w:ind w:firstLine="422" w:firstLineChars="200"/>
              <w:rPr>
                <w:rFonts w:ascii="宋体" w:hAnsi="宋体"/>
                <w:szCs w:val="21"/>
              </w:rPr>
            </w:pPr>
            <w:r>
              <w:rPr>
                <w:rFonts w:hint="eastAsia" w:ascii="宋体" w:hAnsi="宋体"/>
                <w:b/>
                <w:bCs/>
                <w:szCs w:val="21"/>
              </w:rPr>
              <w:t>以课程教学为平台</w:t>
            </w:r>
            <w:r>
              <w:rPr>
                <w:rFonts w:hint="eastAsia" w:ascii="宋体" w:hAnsi="宋体"/>
                <w:szCs w:val="21"/>
              </w:rPr>
              <w:t>，</w:t>
            </w:r>
            <w:r>
              <w:rPr>
                <w:rFonts w:hint="eastAsia" w:ascii="宋体" w:hAnsi="宋体"/>
                <w:b/>
                <w:bCs/>
                <w:szCs w:val="21"/>
              </w:rPr>
              <w:t>强化德育课堂教学主渠道的作用。</w:t>
            </w:r>
            <w:r>
              <w:rPr>
                <w:rFonts w:hint="eastAsia" w:ascii="宋体" w:hAnsi="宋体"/>
                <w:szCs w:val="21"/>
              </w:rPr>
              <w:t>坚持把德育渗透到每一个课堂、每一个环节，充分实现全员育人、全程育人和全方位育人。积极开发实施德育校本课程，开展德育专项课题研究。</w:t>
            </w:r>
          </w:p>
          <w:p>
            <w:pPr>
              <w:spacing w:line="360" w:lineRule="auto"/>
              <w:ind w:firstLine="413" w:firstLineChars="196"/>
              <w:rPr>
                <w:rFonts w:ascii="宋体" w:hAnsi="宋体"/>
                <w:szCs w:val="21"/>
              </w:rPr>
            </w:pPr>
            <w:r>
              <w:rPr>
                <w:rFonts w:hint="eastAsia" w:ascii="宋体" w:hAnsi="宋体"/>
                <w:b/>
                <w:bCs/>
                <w:szCs w:val="21"/>
              </w:rPr>
              <w:t>以主题教育活动为平台，开展丰富多彩的德育教育活动</w:t>
            </w:r>
            <w:r>
              <w:rPr>
                <w:rFonts w:hint="eastAsia" w:ascii="宋体" w:hAnsi="宋体"/>
                <w:szCs w:val="21"/>
              </w:rPr>
              <w:t>。按照一年一个阶段，一月一个主题的德育思路，全面整合学校德育主题活动。高一年级基于正确认识、完善人的生理生命，以“热爱生活，珍爱生命”为阶段主题，重点开展习惯养成教育、生存技能教育、安全法制教育、文明礼仪教育、科普教育等活动；高二年级基于正确认识和完善心理生命，以“热爱生活，完善生命”为阶段主题，重点开展公民教育、责任教育、诚信教育、传统文化教育、心理健康教育等活动；高三年级基于对生命的意义和人生的历程建立正确永恒的理念，以“热爱生活，发展生命”为阶段主题，重点开展爱国主义教育、理想信念教育、励志感恩教育、文化艺术教育、生态文明教育。</w:t>
            </w:r>
          </w:p>
          <w:p>
            <w:pPr>
              <w:adjustRightInd w:val="0"/>
              <w:snapToGrid w:val="0"/>
              <w:spacing w:line="360" w:lineRule="auto"/>
              <w:ind w:firstLine="420" w:firstLineChars="200"/>
              <w:rPr>
                <w:rFonts w:ascii="宋体" w:hAnsi="宋体"/>
                <w:szCs w:val="21"/>
              </w:rPr>
            </w:pPr>
            <w:r>
              <w:rPr>
                <w:rFonts w:hint="eastAsia" w:ascii="宋体" w:hAnsi="宋体"/>
                <w:szCs w:val="21"/>
              </w:rPr>
              <w:t>每个月围绕传统纪念日，结合学校读书节活动、体育节活动、艺术节活动等，开展公民素养、感恩励志和廉政文化等主题教育，坚持将新生入学教育、军训国防教育、励志远足活动、十八岁成人仪式等传统德育项目做精做强。同时，突出主题、发掘内涵、丰富内容、活泼形式，创新德育主题活动开展方式，实现活动育人的目的。</w:t>
            </w:r>
          </w:p>
          <w:p>
            <w:pPr>
              <w:adjustRightInd w:val="0"/>
              <w:snapToGrid w:val="0"/>
              <w:spacing w:line="360" w:lineRule="auto"/>
              <w:ind w:firstLine="422" w:firstLineChars="200"/>
              <w:rPr>
                <w:rFonts w:ascii="宋体" w:hAnsi="宋体"/>
                <w:szCs w:val="21"/>
              </w:rPr>
            </w:pPr>
            <w:r>
              <w:rPr>
                <w:rFonts w:hint="eastAsia" w:ascii="宋体" w:hAnsi="宋体"/>
                <w:b/>
                <w:bCs/>
                <w:szCs w:val="21"/>
              </w:rPr>
              <w:t>以丰富的社团和社会实践体验为平台，实现学校教育与社会教育的结合。</w:t>
            </w:r>
            <w:r>
              <w:rPr>
                <w:rFonts w:hint="eastAsia" w:ascii="宋体" w:hAnsi="宋体"/>
                <w:szCs w:val="21"/>
              </w:rPr>
              <w:t>积极引导学生广泛开展社会实践活动，通过假日调查、公益活动、青年志愿者等形式组织学生走出校园，走向社区，走向社会，回归生活，回归自然，让他们在实践中体验感悟、自我发展，追求人格的自我完善。</w:t>
            </w:r>
          </w:p>
          <w:p>
            <w:pPr>
              <w:adjustRightInd w:val="0"/>
              <w:snapToGrid w:val="0"/>
              <w:spacing w:line="360" w:lineRule="auto"/>
              <w:ind w:firstLine="422" w:firstLineChars="200"/>
              <w:rPr>
                <w:rFonts w:ascii="宋体" w:hAnsi="宋体"/>
                <w:szCs w:val="21"/>
              </w:rPr>
            </w:pPr>
            <w:r>
              <w:rPr>
                <w:rFonts w:hint="eastAsia" w:ascii="宋体" w:hAnsi="宋体"/>
                <w:b/>
                <w:bCs/>
                <w:szCs w:val="21"/>
              </w:rPr>
              <w:t>以党团组织建设为平台，充分发挥党团和学生组织在德育中的重要作用</w:t>
            </w:r>
            <w:r>
              <w:rPr>
                <w:rFonts w:hint="eastAsia" w:ascii="宋体" w:hAnsi="宋体"/>
                <w:szCs w:val="21"/>
              </w:rPr>
              <w:t>。</w:t>
            </w:r>
            <w:r>
              <w:rPr>
                <w:rFonts w:hint="eastAsia" w:ascii="宋体" w:hAnsi="宋体" w:cs="宋体"/>
                <w:color w:val="000000"/>
                <w:kern w:val="0"/>
                <w:szCs w:val="21"/>
              </w:rPr>
              <w:t>党组织要始终坚持行使德育活动的领导权，管理权和监督权。共青团要加强阵地建设，发挥团组织在德育中的全面育人功能，加强对学生先进思想的引领，突破德育难点，扩大工作影响。充分发挥学生教育主体作用，指导学生发挥学生会、学生自治</w:t>
            </w:r>
            <w:r>
              <w:rPr>
                <w:rFonts w:hint="eastAsia" w:ascii="宋体" w:hAnsi="宋体"/>
                <w:szCs w:val="21"/>
              </w:rPr>
              <w:t>岗等学生团体的</w:t>
            </w:r>
            <w:r>
              <w:rPr>
                <w:rFonts w:hint="eastAsia" w:ascii="宋体" w:hAnsi="宋体" w:cs="宋体"/>
                <w:color w:val="000000"/>
                <w:kern w:val="0"/>
                <w:szCs w:val="21"/>
              </w:rPr>
              <w:t>自我管理、自我教育、自我服务</w:t>
            </w:r>
            <w:r>
              <w:rPr>
                <w:rFonts w:hint="eastAsia" w:ascii="宋体" w:hAnsi="宋体"/>
                <w:szCs w:val="21"/>
              </w:rPr>
              <w:t>功能，让学生在自主管理实践中实现自身综合素质的提高。</w:t>
            </w:r>
          </w:p>
          <w:p>
            <w:pPr>
              <w:adjustRightInd w:val="0"/>
              <w:snapToGrid w:val="0"/>
              <w:spacing w:line="360" w:lineRule="auto"/>
              <w:ind w:firstLine="422" w:firstLineChars="200"/>
              <w:rPr>
                <w:rFonts w:ascii="宋体" w:hAnsi="宋体"/>
                <w:szCs w:val="21"/>
              </w:rPr>
            </w:pPr>
            <w:r>
              <w:rPr>
                <w:rFonts w:hint="eastAsia" w:ascii="宋体" w:hAnsi="宋体"/>
                <w:b/>
                <w:bCs/>
                <w:szCs w:val="21"/>
              </w:rPr>
              <w:t>3、加强德育队伍建设。</w:t>
            </w:r>
            <w:r>
              <w:rPr>
                <w:rFonts w:hint="eastAsia" w:ascii="宋体" w:hAnsi="宋体"/>
                <w:szCs w:val="21"/>
              </w:rPr>
              <w:t>重点培养一支师德高、业务精、观念新的创新型德育工作队伍,特别是强化班主任团队的建设，形成一支优秀班主任和德育名师队伍。完善“学生发展指导中心”的功能，为学生学习、发展提供指导意见。切实加强学生心理问题的疏导和干预，引领学生的健康成长。</w:t>
            </w:r>
          </w:p>
          <w:p>
            <w:pPr>
              <w:adjustRightInd w:val="0"/>
              <w:snapToGrid w:val="0"/>
              <w:spacing w:line="360" w:lineRule="auto"/>
              <w:ind w:firstLine="422" w:firstLineChars="200"/>
              <w:rPr>
                <w:rFonts w:ascii="宋体" w:hAnsi="宋体"/>
                <w:szCs w:val="21"/>
              </w:rPr>
            </w:pPr>
            <w:r>
              <w:rPr>
                <w:rFonts w:hint="eastAsia" w:ascii="宋体" w:hAnsi="宋体"/>
                <w:b/>
                <w:bCs/>
                <w:szCs w:val="21"/>
              </w:rPr>
              <w:t>4、积极争取家庭、社会共同参与和支持学校德育工作。</w:t>
            </w:r>
            <w:r>
              <w:rPr>
                <w:rFonts w:hint="eastAsia" w:ascii="宋体" w:hAnsi="宋体"/>
                <w:szCs w:val="21"/>
              </w:rPr>
              <w:t>建立健全家庭教育工作机制，统筹家长委员会、家长学校等各种家校沟通渠道。基于现代通信手段，建立家校联系微信群、QQ群等，丰富学校指导服务内容，及时了解、沟通和反馈学生的思想状况和行为表现，认真听取家长对学校的意见和建议，促进家长了解学校办学理念、教育教学改进措施，帮助家长提高家教水平。构建社会共育机制，主动联系各部门、组织，建立多方联动机制，搭建社会育人平台，实现社会资源共享共建，净化学生成长环境，助力广大中小学生健康成长。</w:t>
            </w:r>
          </w:p>
          <w:p>
            <w:pPr>
              <w:widowControl/>
              <w:shd w:val="clear" w:color="auto" w:fill="FFFFFF"/>
              <w:adjustRightInd w:val="0"/>
              <w:snapToGrid w:val="0"/>
              <w:spacing w:line="360" w:lineRule="auto"/>
              <w:ind w:firstLine="422" w:firstLineChars="200"/>
              <w:jc w:val="left"/>
              <w:rPr>
                <w:rFonts w:ascii="宋体" w:hAnsi="宋体"/>
                <w:b/>
                <w:bCs/>
                <w:kern w:val="0"/>
                <w:szCs w:val="21"/>
              </w:rPr>
            </w:pPr>
            <w:r>
              <w:rPr>
                <w:rFonts w:hint="eastAsia" w:ascii="宋体" w:hAnsi="宋体"/>
                <w:b/>
                <w:bCs/>
                <w:kern w:val="0"/>
                <w:szCs w:val="21"/>
              </w:rPr>
              <w:t>四．实施师德师能建设工程，着力建设高素质教师团队。</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学校根据本规划确定的教师发展目标，建立健全教师队伍建设的工作机制，切实加强师德师能建设，指导教师制定个人三年专业发展规划，锤炼一支师德高尚、业务精良、具有团队精神和创新意识的德艺双优的教师队伍。根据发展艺术特色教育的需要，提高全体教师的艺术素养，培养一批能够开发和实施艺术选修课程的教师。努力创设青年教师快速成长的良好环境，着力培养骨干教师和名优教师，提增区、市级优秀教师的人数和比例。。</w:t>
            </w:r>
          </w:p>
          <w:p>
            <w:pPr>
              <w:adjustRightInd w:val="0"/>
              <w:snapToGrid w:val="0"/>
              <w:spacing w:line="360" w:lineRule="auto"/>
              <w:ind w:firstLine="422" w:firstLineChars="200"/>
              <w:rPr>
                <w:rFonts w:ascii="宋体" w:hAnsi="宋体"/>
                <w:szCs w:val="21"/>
              </w:rPr>
            </w:pPr>
            <w:r>
              <w:rPr>
                <w:rFonts w:hint="eastAsia" w:ascii="宋体" w:hAnsi="宋体"/>
                <w:b/>
                <w:bCs/>
                <w:kern w:val="0"/>
                <w:szCs w:val="21"/>
              </w:rPr>
              <w:t>1、价值引领提升师德。</w:t>
            </w:r>
            <w:r>
              <w:rPr>
                <w:rFonts w:hint="eastAsia" w:ascii="宋体" w:hAnsi="宋体"/>
                <w:kern w:val="0"/>
                <w:szCs w:val="21"/>
              </w:rPr>
              <w:t>把师德师风建设作为教师队伍建设的首要任务，</w:t>
            </w:r>
            <w:r>
              <w:rPr>
                <w:rFonts w:hint="eastAsia" w:ascii="宋体" w:hAnsi="宋体"/>
                <w:szCs w:val="21"/>
              </w:rPr>
              <w:t>不断提高干部队伍的政治素质、理论水平，增强行政的决策能力。不断提高党员的模范意识，充分发挥党支部的战斗堡垒作用。采取党政工联动、全方位实施的办法，深入开展教师职业道德规范的学习，切实提高全校教职工的政治意识、大局意识、核心意识、看齐意识和法制观念、敬业精神。</w:t>
            </w:r>
            <w:r>
              <w:rPr>
                <w:rFonts w:hint="eastAsia" w:ascii="宋体" w:hAnsi="宋体"/>
                <w:kern w:val="0"/>
                <w:szCs w:val="21"/>
              </w:rPr>
              <w:t>进一步扎实开展</w:t>
            </w:r>
            <w:r>
              <w:rPr>
                <w:rFonts w:hint="eastAsia" w:ascii="宋体" w:hAnsi="宋体"/>
                <w:szCs w:val="21"/>
              </w:rPr>
              <w:t>“师德建设月”、</w:t>
            </w:r>
            <w:r>
              <w:rPr>
                <w:rFonts w:hint="eastAsia" w:ascii="宋体" w:hAnsi="宋体"/>
                <w:kern w:val="0"/>
                <w:szCs w:val="21"/>
              </w:rPr>
              <w:t>“道德讲堂”、政治学习、师德师风考评等活动。进一步完善师德要求考核办法，</w:t>
            </w:r>
            <w:r>
              <w:rPr>
                <w:rFonts w:hint="eastAsia" w:ascii="宋体" w:hAnsi="宋体"/>
                <w:szCs w:val="21"/>
              </w:rPr>
              <w:t>认真组织开展一年一度“师德标兵”评选。</w:t>
            </w:r>
            <w:r>
              <w:rPr>
                <w:rFonts w:hint="eastAsia" w:ascii="宋体" w:hAnsi="宋体"/>
                <w:kern w:val="0"/>
                <w:szCs w:val="21"/>
              </w:rPr>
              <w:t>加强对教师的职业理想教育和行为规范管理，引领教师“</w:t>
            </w:r>
            <w:r>
              <w:rPr>
                <w:rFonts w:hint="eastAsia" w:ascii="宋体" w:hAnsi="宋体"/>
                <w:szCs w:val="21"/>
              </w:rPr>
              <w:t>做学生锤炼品格的引路人，做学生学习知识的引路人，做学生创新思维的引路人，做学生奉献祖国的引路人。”</w:t>
            </w:r>
          </w:p>
          <w:p>
            <w:pPr>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2、校本研修增强师能。</w:t>
            </w:r>
            <w:r>
              <w:rPr>
                <w:rFonts w:hint="eastAsia" w:ascii="宋体" w:hAnsi="宋体"/>
                <w:kern w:val="0"/>
                <w:szCs w:val="21"/>
              </w:rPr>
              <w:t>学校将以提高全体教师专业发展水平为目标，以建设学习型校园、学习型团队为载体，进一步健全引领教师主动发展的校本研修机制。将校级培训、教研组研修、个人学习研究等统筹安排，扎实开展“学术沙龙”“教学论坛”“课堂教学展示”“青年教师评优课”“教师基本功竞赛”“微型讲座”等多种形式的校本研修活动。同时创造条件，积极支持教师参加专业培训研修活动和外出交流研讨活动。</w:t>
            </w:r>
          </w:p>
          <w:p>
            <w:pPr>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进一步完善教科教研工作制度和学校教科研奖励办法，切实加强对教育科研和教学研究的过程管理、方法指导、专业引领、总结反思和考核评价。教师百分之百参与课题研究，并将教科教研过程与实绩纳入教师工作考评系列。</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进一步加强教研工作组织建设。完善教研处等相关科室的工作机制，明确岗位职责，落实工作任务，提高行政管理和业务指导的水平。切实加强教研组、备课组建设，充分发挥教研组、备课组在教科教研中的组织作用和团队力量。</w:t>
            </w:r>
          </w:p>
          <w:p>
            <w:pPr>
              <w:widowControl/>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3、积极推进名师工程。</w:t>
            </w:r>
            <w:r>
              <w:rPr>
                <w:rFonts w:hint="eastAsia" w:ascii="宋体" w:hAnsi="宋体"/>
                <w:kern w:val="0"/>
                <w:szCs w:val="21"/>
              </w:rPr>
              <w:t>切实加强骨干教师、名优教师的培养。在个人申报、同行推荐、学校考察的基础上，确定一批重点培养对象，在教育教学工作、教育科研、课程建设、学习进修等方面为其提供更多的实践锻炼机会，创造更多的成长条件。学校将通过青蓝工程师徒结对充分发挥学校现有骨干教师、名优教师在培养骨干教师中的专业引领作用，通过推荐参加国内外高级研修等措施，为培养对象提供专业引领和技术指导。学校将进一步健全“骨干教师和学科带头人考核奖励办法”，激励广大教师主动发展，建功立业。</w:t>
            </w:r>
          </w:p>
          <w:p>
            <w:pPr>
              <w:widowControl/>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4、扎实推进生本课堂。</w:t>
            </w:r>
            <w:r>
              <w:rPr>
                <w:rFonts w:hint="eastAsia" w:ascii="宋体" w:hAnsi="宋体"/>
                <w:kern w:val="0"/>
                <w:szCs w:val="21"/>
              </w:rPr>
              <w:t>学校将认真总结学校课程改革、教学改革的经验和成果，深入分析目前学科教学面临的新要求和新问题，研究制定进一步深化教学改革、推进生本课堂建设的行动计划。学校将坚持以生本教育基本理念、生本课堂基本精神引领教学改革，结合本校学生实际情况，制定明确具体的、可操作的教改要求，进行“互联网+”的积极探索，促进传统课堂向信息化课堂的转型升级，进一步</w:t>
            </w:r>
            <w:r>
              <w:rPr>
                <w:rFonts w:ascii="宋体" w:hAnsi="宋体"/>
                <w:szCs w:val="21"/>
              </w:rPr>
              <w:t>大力推进教与学方式改革。</w:t>
            </w:r>
            <w:r>
              <w:rPr>
                <w:rFonts w:hint="eastAsia" w:ascii="宋体" w:hAnsi="宋体" w:cs="Arial"/>
                <w:kern w:val="0"/>
                <w:szCs w:val="21"/>
              </w:rPr>
              <w:t>学校将定期举行生本课堂教学研讨活动，在与兄弟学校合作交流、资源共享的过程中汲取先进经验，加快教学创新。</w:t>
            </w:r>
            <w:r>
              <w:rPr>
                <w:rFonts w:hint="eastAsia" w:ascii="宋体" w:hAnsi="宋体"/>
                <w:kern w:val="0"/>
                <w:szCs w:val="21"/>
              </w:rPr>
              <w:t>将在着力打造生本课堂的基础上推进作业改革，研究改进课外作业练习的设计、组织、批改和评析，减负增效，努力提高作业练习的效益。</w:t>
            </w:r>
          </w:p>
          <w:p>
            <w:pPr>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5、完善教师评价制度。</w:t>
            </w:r>
            <w:r>
              <w:rPr>
                <w:rFonts w:hint="eastAsia" w:ascii="宋体" w:hAnsi="宋体"/>
                <w:kern w:val="0"/>
                <w:szCs w:val="21"/>
              </w:rPr>
              <w:t>将根据建设生本课堂、深化教学改革的基本精神和具体要求，进一步优化教学管理和教学评价。修改完善相关教学管理和教学评价制度，突出教学过程管理，突出对教师教学活动的过程性评价。将与教师队伍建设、骨干教师培养相结合，鼓励和支持教师在教学改革的研究与实践中创业绩、出成果。</w:t>
            </w:r>
          </w:p>
          <w:p>
            <w:pPr>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根据实施岗位聘任、岗位设置、绩效工资、评优评先、职称晋升的实际情况，根据全面实施素质教育对教师师德师能的新要求，进一步修订完善师德、师能、实绩相结合的教师考核评价激励机制，充分发挥考核评价对教师专业发展的导向作用、激励作用。</w:t>
            </w:r>
          </w:p>
          <w:p>
            <w:pPr>
              <w:spacing w:line="360" w:lineRule="auto"/>
              <w:ind w:firstLine="422" w:firstLineChars="200"/>
              <w:rPr>
                <w:rFonts w:ascii="宋体" w:hAnsi="宋体"/>
                <w:kern w:val="0"/>
                <w:szCs w:val="21"/>
              </w:rPr>
            </w:pPr>
            <w:r>
              <w:rPr>
                <w:rFonts w:hint="eastAsia" w:ascii="宋体" w:hAnsi="宋体"/>
                <w:b/>
                <w:bCs/>
                <w:kern w:val="0"/>
                <w:szCs w:val="21"/>
              </w:rPr>
              <w:t>五．实施课程建设工程，着力完善学校课程体系。</w:t>
            </w:r>
          </w:p>
          <w:p>
            <w:pPr>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学校基于建设学校“行”文化和发展艺术教育特色的目标，着眼学生全面发展、个性发展，将进一步扎实推进课程建设，不断提高国家课程校本化实施水平，着力构建起适切本校实际、具有本校特色的校本课程体系，大力加强艺术特色课程建设。</w:t>
            </w:r>
          </w:p>
          <w:p>
            <w:pPr>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1.提高国家课程校本化实施水平</w:t>
            </w:r>
            <w:r>
              <w:rPr>
                <w:rFonts w:hint="eastAsia" w:ascii="宋体" w:hAnsi="宋体"/>
                <w:kern w:val="0"/>
                <w:szCs w:val="21"/>
              </w:rPr>
              <w:t>。严格执行国家课程政策和省市教育行政部门下达的课程计划，开齐开足上好各门规定的国家必修课程，通用技术、研究性学习等课程按省市要求认真落实，与学校开发的校本课程、开展的文化活动有机结合，进一步提高课程实施水平。组织教师深入研究学生发展综合素养的基本要求和江苏省新高考方案，合理开设国家课程选修模块，正确把握必修、选修模块的教学目标与内容，以建设生本课堂为抓手，积极创新国家课程的实施方式和教学方法。</w:t>
            </w:r>
          </w:p>
          <w:p>
            <w:pPr>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2.构建支持多元特色发展的校本课程体系。</w:t>
            </w:r>
            <w:r>
              <w:rPr>
                <w:rFonts w:hint="eastAsia" w:ascii="宋体" w:hAnsi="宋体"/>
                <w:kern w:val="0"/>
                <w:szCs w:val="21"/>
              </w:rPr>
              <w:t>认真总结几年来开发实施校本课程的经验和成果，根据本校学生培养目标和特色发展目标，对开发实施校本课程进行系统规划、精心设计，构建起新一轮与国家课程相协调、体现学校办学理念、支持多样发展特色发展的，突出综合性、实践性的校本课程体系。</w:t>
            </w:r>
          </w:p>
          <w:p>
            <w:pPr>
              <w:spacing w:line="360" w:lineRule="auto"/>
              <w:ind w:firstLine="420" w:firstLineChars="200"/>
              <w:rPr>
                <w:rFonts w:ascii="宋体" w:hAnsi="宋体"/>
                <w:kern w:val="0"/>
                <w:szCs w:val="21"/>
              </w:rPr>
            </w:pPr>
            <w:r>
              <w:rPr>
                <w:rFonts w:hint="eastAsia"/>
                <w:szCs w:val="21"/>
              </w:rPr>
              <w:t>学校</w:t>
            </w:r>
            <w:r>
              <w:rPr>
                <w:rFonts w:hint="eastAsia" w:ascii="宋体" w:hAnsi="宋体"/>
                <w:kern w:val="0"/>
                <w:szCs w:val="21"/>
              </w:rPr>
              <w:t>以“行”文化建设和艺术教育为重点，已经</w:t>
            </w:r>
            <w:r>
              <w:rPr>
                <w:rFonts w:hint="eastAsia"/>
                <w:szCs w:val="21"/>
              </w:rPr>
              <w:t>形成了“生命教育”“艺术教育”和“科技教育”三大系列具有地域特征、乡土特色和时代气息的校本课程体系，</w:t>
            </w:r>
            <w:r>
              <w:rPr>
                <w:rFonts w:hint="eastAsia" w:ascii="宋体" w:hAnsi="宋体"/>
                <w:kern w:val="0"/>
                <w:szCs w:val="21"/>
              </w:rPr>
              <w:t>涵盖健康、人文、语言、科技、艺术等五大学习领域，包括必修、选修和社团等三种课程形态。学校</w:t>
            </w:r>
            <w:r>
              <w:rPr>
                <w:rFonts w:hint="eastAsia"/>
                <w:szCs w:val="21"/>
              </w:rPr>
              <w:t>开发实施了《礼仪与生活》《艺术与人生》《人生规划》等3门面向全体学生的校本必修课程，《美术鉴赏》《动漫文化》《生活中的化学》等近50门供学生选择的校本选修课程，其中《艺术与人生》《卡通的欣赏与制作》被评为省、市级优秀校本教材。校本必修课程</w:t>
            </w:r>
            <w:r>
              <w:rPr>
                <w:rFonts w:hint="eastAsia" w:ascii="宋体" w:hAnsi="宋体"/>
                <w:kern w:val="0"/>
                <w:szCs w:val="21"/>
              </w:rPr>
              <w:t>分别安排在高一高二年级，纳入课程计划，单独安排课时实施。校本选修课程，将着眼于拓宽学生知识视野，提高学生综合素养，安排在高一年级、高二年级选修，由学生自主选择，实行走班制教学，每周一课时，统一安排教学时间。学校将通过提高型课程系统化、兴趣型课程综合化、研究性学习课程化、实践型课程社会化的建设，进一步精细化开发、分类、管理、运行这些课程，旨在彰显“以人为本、发展个性”的教育价值观，引导学生综合运用所学知识发现问题、解决问题，为学生个性特长发展创造条件。</w:t>
            </w:r>
          </w:p>
          <w:p>
            <w:pPr>
              <w:spacing w:line="360" w:lineRule="auto"/>
              <w:ind w:firstLine="420" w:firstLineChars="200"/>
              <w:rPr>
                <w:rFonts w:ascii="宋体" w:hAnsi="宋体"/>
                <w:kern w:val="0"/>
                <w:szCs w:val="21"/>
              </w:rPr>
            </w:pPr>
            <w:r>
              <w:rPr>
                <w:rFonts w:hint="eastAsia"/>
                <w:szCs w:val="21"/>
              </w:rPr>
              <w:t>学校以培养艺术特长为重点，组建了“素写淡然”、“众音社”、“水墨之旅”等十多个纳入课外活动序列的学生艺术社团。</w:t>
            </w:r>
            <w:r>
              <w:rPr>
                <w:rFonts w:hint="eastAsia" w:ascii="宋体" w:hAnsi="宋体"/>
                <w:kern w:val="0"/>
                <w:szCs w:val="21"/>
              </w:rPr>
              <w:t>学校将根据学生兴趣爱好、能力基础和发展需求，跨年级组建更多文学、外语、科技、艺术、体育等领域的学生文化社团，着力培养学生兴趣爱好，发展学生技艺特长和学科专长。学校将使每位学生在校三年，都能学习一定的校本选修课程或参加一定的社团活动。</w:t>
            </w:r>
          </w:p>
          <w:p>
            <w:pPr>
              <w:spacing w:line="360" w:lineRule="auto"/>
              <w:ind w:firstLine="422" w:firstLineChars="200"/>
              <w:rPr>
                <w:rFonts w:ascii="宋体" w:hAnsi="宋体"/>
                <w:kern w:val="0"/>
                <w:szCs w:val="21"/>
              </w:rPr>
            </w:pPr>
            <w:r>
              <w:rPr>
                <w:rFonts w:hint="eastAsia" w:ascii="宋体" w:hAnsi="宋体"/>
                <w:b/>
                <w:kern w:val="0"/>
                <w:szCs w:val="21"/>
              </w:rPr>
              <w:t>3、进一步开拓国际教育课程。</w:t>
            </w:r>
            <w:r>
              <w:rPr>
                <w:rFonts w:hint="eastAsia" w:ascii="宋体" w:hAnsi="宋体"/>
                <w:kern w:val="0"/>
                <w:szCs w:val="21"/>
              </w:rPr>
              <w:t>学校将进一步拓展国际教育项目，为学生走向世界创造条件。将加强对外合作交流，组织教师和学生开展更多的对外教育教学交流活动。</w:t>
            </w:r>
          </w:p>
          <w:p>
            <w:pPr>
              <w:adjustRightInd w:val="0"/>
              <w:snapToGrid w:val="0"/>
              <w:spacing w:line="360" w:lineRule="auto"/>
              <w:ind w:firstLine="422" w:firstLineChars="200"/>
              <w:rPr>
                <w:rFonts w:ascii="宋体" w:hAnsi="宋体"/>
                <w:color w:val="000000"/>
                <w:szCs w:val="21"/>
              </w:rPr>
            </w:pPr>
            <w:r>
              <w:rPr>
                <w:rFonts w:hint="eastAsia"/>
                <w:b/>
                <w:bCs/>
                <w:color w:val="000000"/>
                <w:szCs w:val="21"/>
              </w:rPr>
              <w:t>六．以生本课堂建设为重点，着力提升教学品质</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以培养学生核心素养，全面提高教学质量和效益为目标，以建设“生本课堂”为抓手，进一步深化教学改革，加强教学研究，优化教学管理，提升教学品质，使学校教学质量在高位运行的基础上再创新水平，再有新跨越。</w:t>
            </w:r>
          </w:p>
          <w:p>
            <w:pPr>
              <w:adjustRightInd w:val="0"/>
              <w:snapToGrid w:val="0"/>
              <w:spacing w:line="360" w:lineRule="auto"/>
              <w:ind w:firstLine="422" w:firstLineChars="200"/>
              <w:rPr>
                <w:rFonts w:ascii="宋体" w:hAnsi="宋体"/>
                <w:color w:val="000000"/>
                <w:szCs w:val="21"/>
              </w:rPr>
            </w:pPr>
            <w:r>
              <w:rPr>
                <w:rFonts w:hint="eastAsia" w:ascii="宋体" w:hAnsi="宋体"/>
                <w:b/>
                <w:color w:val="000000"/>
                <w:szCs w:val="21"/>
              </w:rPr>
              <w:t>1.深化教学改革。</w:t>
            </w:r>
            <w:r>
              <w:rPr>
                <w:rFonts w:hint="eastAsia" w:ascii="宋体" w:hAnsi="宋体"/>
                <w:color w:val="000000"/>
                <w:szCs w:val="21"/>
              </w:rPr>
              <w:t>以培养学生良好学习习惯和思维品质、提高学生学习能力和学业水平为目标，以打造“自主、合作、分享”为基本特质的生本课堂为重点，全面深化教学改革。学校将在总结多年来建设生本课堂取得的成果与经验的基础上，研究制定具体的建设生本课堂、深化教学改革的实施方案，对教学改革的目标、策略和推进措施进行系统思考，精细策划。指导各教研组根据实施方案制定本学科的教改计划，对本学科优化教学目标与内容、创新教学过程与方法、改进教学观察与评价等进行研究设计，并在教学中积极践行、深入探索。争取在2—3年内建立起优质高效、具有本校特色的生本课堂教学模式和教学策略，并带动作业练习、学科实践活动的改革创新。</w:t>
            </w:r>
          </w:p>
          <w:p>
            <w:pPr>
              <w:adjustRightInd w:val="0"/>
              <w:snapToGrid w:val="0"/>
              <w:spacing w:line="360" w:lineRule="auto"/>
              <w:ind w:firstLine="422" w:firstLineChars="200"/>
              <w:rPr>
                <w:rFonts w:ascii="宋体" w:hAnsi="宋体"/>
                <w:b/>
                <w:szCs w:val="21"/>
              </w:rPr>
            </w:pPr>
            <w:r>
              <w:rPr>
                <w:rFonts w:hint="eastAsia" w:ascii="宋体" w:hAnsi="宋体"/>
                <w:b/>
                <w:szCs w:val="21"/>
              </w:rPr>
              <w:t>2.优化教学管理。</w:t>
            </w:r>
            <w:r>
              <w:rPr>
                <w:rFonts w:hint="eastAsia" w:ascii="宋体" w:hAnsi="宋体"/>
                <w:szCs w:val="21"/>
              </w:rPr>
              <w:t>将根据“生本课堂”的基本精神和基本要求，进一步制定和完善从备课到作业批改、个别辅导的各项教学常规和管理制度，进一步制定和完善从课前预习到课后作业的各项学习行为要求，进一步完善以课堂教学评价为重点的教学评价机制。教研处、各级部、教研组长和备课组长分工负责，加强对教师教学过程的督查、指导和评价，并引领教师在观摩研讨中进行同行评价，在总结反思中进行自我评价，通过评价及时总结成果和经验，及时发现和解决存在的问题。</w:t>
            </w:r>
          </w:p>
          <w:p>
            <w:pPr>
              <w:adjustRightInd w:val="0"/>
              <w:snapToGrid w:val="0"/>
              <w:spacing w:line="360" w:lineRule="auto"/>
              <w:ind w:firstLine="422" w:firstLineChars="200"/>
              <w:rPr>
                <w:rFonts w:ascii="宋体" w:hAnsi="宋体"/>
                <w:szCs w:val="21"/>
              </w:rPr>
            </w:pPr>
            <w:r>
              <w:rPr>
                <w:rFonts w:hint="eastAsia" w:ascii="宋体" w:hAnsi="宋体"/>
                <w:b/>
                <w:szCs w:val="21"/>
              </w:rPr>
              <w:t>3.强化教学研究。</w:t>
            </w:r>
            <w:r>
              <w:rPr>
                <w:rFonts w:hint="eastAsia" w:ascii="宋体" w:hAnsi="宋体"/>
                <w:szCs w:val="21"/>
              </w:rPr>
              <w:t>将根据教学改革的目标要求，一是继续组织教师认真研习教学理论、学科课程标准和先进教改经验，组织开展以建设“生本课堂”为主题的教学观摩研讨活动、教师论坛活动。二是发挥教研组、备课组的团队力量，各学科教研组，必须根据“生本课堂”的价值追求和基本精神，组织教师积极探索提高教学效益，发展学生能力的教学策略，引领教师在实践中研究，以研究促实践，努力创出本学科的教学特色。</w:t>
            </w:r>
          </w:p>
          <w:p>
            <w:pPr>
              <w:adjustRightInd w:val="0"/>
              <w:snapToGrid w:val="0"/>
              <w:spacing w:line="360" w:lineRule="auto"/>
              <w:ind w:firstLine="422" w:firstLineChars="200"/>
              <w:rPr>
                <w:rFonts w:ascii="宋体" w:hAnsi="宋体"/>
                <w:color w:val="000000"/>
                <w:szCs w:val="21"/>
              </w:rPr>
            </w:pPr>
            <w:r>
              <w:rPr>
                <w:rFonts w:hint="eastAsia" w:ascii="宋体" w:hAnsi="宋体"/>
                <w:b/>
                <w:szCs w:val="21"/>
              </w:rPr>
              <w:t>4.加强质量监控。</w:t>
            </w:r>
            <w:r>
              <w:rPr>
                <w:rFonts w:hint="eastAsia" w:ascii="宋体" w:hAnsi="宋体"/>
                <w:szCs w:val="21"/>
              </w:rPr>
              <w:t>质量监控是保证教学质量的重要手段，</w:t>
            </w:r>
            <w:r>
              <w:rPr>
                <w:rFonts w:hint="eastAsia" w:ascii="宋体" w:hAnsi="宋体"/>
                <w:color w:val="000000"/>
                <w:szCs w:val="21"/>
              </w:rPr>
              <w:t>学校将结合教学管理，研究制定《教学质量检测监控实施办法》，加快建立过程与结果相结合、评价与研究相结合的教学质量检测监控机制。将规范学生单元测试、期中期末考试的命题和组织工作，不断提高学业检测的信度和效度，为质量分析评估提供可靠论据。要认真组织学生参加区市教科研部门开展的统一调研测试。各类各次学业检测后必须认真分析、评估和反馈，以及时发现问题，调整教学。将通过常规听课、学科专项调研、学生学科竞赛、听取学生意见建议等方法，加强对教与学的过程性观察评价。将应用信息技术建立教学质量分析评估系统和数据库，为质量监控提供技术支持。</w:t>
            </w:r>
          </w:p>
          <w:p>
            <w:pPr>
              <w:widowControl/>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七.实施智慧校园建设工程，着力推进教育现代化水平</w:t>
            </w:r>
            <w:r>
              <w:rPr>
                <w:rFonts w:hint="eastAsia" w:ascii="宋体" w:hAnsi="宋体"/>
                <w:kern w:val="0"/>
                <w:szCs w:val="21"/>
              </w:rPr>
              <w:t>。</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促进信息技术与学校管理的深度融合，基本实现教育管理信息化。构建起比较完善的学校管理信息系统、教科教研网络平台、课程资源与课程管理网络系统、学生网上互动学习平台和教学质量检测监控信息系统，初步建成设施先进、内容丰富，运作便捷高效、师生共建共享的智慧校园。</w:t>
            </w:r>
          </w:p>
          <w:p>
            <w:pPr>
              <w:widowControl/>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1.加强信息技术设施建设。</w:t>
            </w:r>
            <w:r>
              <w:rPr>
                <w:rFonts w:hint="eastAsia" w:ascii="宋体" w:hAnsi="宋体"/>
                <w:kern w:val="0"/>
                <w:szCs w:val="21"/>
              </w:rPr>
              <w:t>将根据数字化校园建设目标，加大资金投入，完善网络中心机房建设，重新规划合理安排校园网络，更新添置其他硬件设备，配置完善各应用系统的软件等，全面提升信息技术装备水平，充分挖掘和利用现有数字设备的功能和作用。</w:t>
            </w:r>
          </w:p>
          <w:p>
            <w:pPr>
              <w:widowControl/>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2.加强信息技术应用技能的培训和提升</w:t>
            </w:r>
            <w:r>
              <w:rPr>
                <w:rFonts w:hint="eastAsia" w:ascii="宋体" w:hAnsi="宋体"/>
                <w:kern w:val="0"/>
                <w:szCs w:val="21"/>
              </w:rPr>
              <w:t>。将信息技术纳入校本培训计划，组织教师加强学习、研究和应用，提高全体教师的信息技术应用能力。将进一步加强信息技术课程的教学，努力提高全体学生的信息技术应用水平。尤其重视新媒体在教育领域的运用，关注微课程、微课堂、微教学、微视频等“微”变化，引导教师借鉴传统课堂中成熟教学体系，以信息技术为平台，开展系列“微课堂”竞赛活动，尝试“微课堂”与传统课堂联接，成就教师专业成长，持续推进教育改革。</w:t>
            </w:r>
          </w:p>
          <w:p>
            <w:pPr>
              <w:widowControl/>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3.加强信息技术资源的开发、应用和管理。</w:t>
            </w:r>
            <w:r>
              <w:rPr>
                <w:rFonts w:hint="eastAsia" w:ascii="宋体" w:hAnsi="宋体"/>
                <w:kern w:val="0"/>
                <w:szCs w:val="21"/>
              </w:rPr>
              <w:t>成立信息技术研发与管理中心，具体负责全校信息系统的管理、维护和应用指导。建立健全学校教育教学资源库，为师生提供丰富、优质的教育教学资源。引导教师积极利用网络平台、网络资源开展教学研究和教育科研，积极参与网络教研平台、学生学习平台的课程资源建设。</w:t>
            </w:r>
          </w:p>
          <w:p>
            <w:pPr>
              <w:adjustRightInd w:val="0"/>
              <w:snapToGrid w:val="0"/>
              <w:spacing w:line="360" w:lineRule="auto"/>
              <w:ind w:firstLine="422" w:firstLineChars="200"/>
              <w:rPr>
                <w:rFonts w:ascii="宋体" w:hAnsi="宋体"/>
                <w:color w:val="000000"/>
                <w:szCs w:val="21"/>
              </w:rPr>
            </w:pPr>
            <w:r>
              <w:rPr>
                <w:rFonts w:hint="eastAsia" w:ascii="宋体" w:hAnsi="宋体"/>
                <w:b/>
                <w:szCs w:val="21"/>
              </w:rPr>
              <w:t>4.完善网络学习。</w:t>
            </w:r>
            <w:r>
              <w:rPr>
                <w:rFonts w:hint="eastAsia" w:ascii="宋体" w:hAnsi="宋体"/>
                <w:color w:val="000000"/>
                <w:szCs w:val="21"/>
              </w:rPr>
              <w:t>将结合课程建设和教学改革，进一步加强网络学习平台的技术装备建设和课程资源建设，引入远程网上直播课堂，为学生网络学习提供良好的技术支持和丰富的课程资源。进一步建立健全网络学习平台的管理与指导机制，广大教师要积极参与网络学习平台的课程资源建设，深入研究学生网上学习的组织方式和指导策略。要坚持课内课外、校内校外相结合，积极组织学生开展有序有效的网上学习活动，通过网上学习拓宽学生学习领域，增强学生自主学习能力。</w:t>
            </w:r>
          </w:p>
          <w:p>
            <w:pPr>
              <w:adjustRightInd w:val="0"/>
              <w:snapToGrid w:val="0"/>
              <w:spacing w:line="360" w:lineRule="auto"/>
              <w:ind w:firstLine="422" w:firstLineChars="200"/>
              <w:rPr>
                <w:rFonts w:ascii="宋体" w:hAnsi="宋体"/>
                <w:b/>
                <w:color w:val="000000"/>
                <w:szCs w:val="21"/>
              </w:rPr>
            </w:pPr>
            <w:r>
              <w:rPr>
                <w:rFonts w:hint="eastAsia" w:ascii="宋体" w:hAnsi="宋体"/>
                <w:b/>
                <w:color w:val="000000"/>
                <w:szCs w:val="21"/>
              </w:rPr>
              <w:t>八、实施品牌亮化工程，着力强化艺术教育特色。</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进一步亮化学校业已形成的艺术教育特色教育品牌，在学校艺术课程、艺术师资、艺术活动、艺术科研、艺术高考等方面加大探索力度，持续推进学校艺术教育稳步健康发展。</w:t>
            </w:r>
          </w:p>
          <w:p>
            <w:pPr>
              <w:adjustRightInd w:val="0"/>
              <w:snapToGrid w:val="0"/>
              <w:spacing w:line="360" w:lineRule="auto"/>
              <w:ind w:firstLine="422" w:firstLineChars="200"/>
              <w:rPr>
                <w:rFonts w:ascii="宋体" w:hAnsi="宋体"/>
                <w:kern w:val="0"/>
                <w:szCs w:val="21"/>
              </w:rPr>
            </w:pPr>
            <w:r>
              <w:rPr>
                <w:rFonts w:hint="eastAsia" w:ascii="宋体" w:hAnsi="宋体"/>
                <w:b/>
                <w:kern w:val="0"/>
                <w:szCs w:val="21"/>
              </w:rPr>
              <w:t>1、加强艺术特色课程建设。</w:t>
            </w:r>
            <w:r>
              <w:rPr>
                <w:rFonts w:hint="eastAsia" w:ascii="宋体" w:hAnsi="宋体"/>
                <w:kern w:val="0"/>
                <w:szCs w:val="21"/>
              </w:rPr>
              <w:t>基于建设“行”学校文化和发展艺术教育特色的发展目标，根据省市教育行政部门关于创建课程建设基地的要求，将以建设特色课程为重点，进一步加强学校艺术特色课程建设。坚持艺术普及和艺术高考两手抓，面向全体学生普及艺术教育，着力提高全体学生的艺术素养，让每一个学生掌握1-2门艺术特长。进一步拓宽艺术高考的渠道，优化艺术教育课程，力争艺术高考水平再上新台阶，为一流高校输送更多优质艺术生源。同时进一步为本区域中小学加强艺术教育提供课程资源和活动基地，更好地发挥学校在艺术教育领域的引领和辐射作用。</w:t>
            </w:r>
          </w:p>
          <w:p>
            <w:pPr>
              <w:adjustRightInd w:val="0"/>
              <w:snapToGrid w:val="0"/>
              <w:spacing w:line="360" w:lineRule="auto"/>
              <w:ind w:firstLine="422" w:firstLineChars="200"/>
              <w:rPr>
                <w:rFonts w:ascii="宋体" w:hAnsi="宋体"/>
                <w:kern w:val="0"/>
                <w:szCs w:val="21"/>
              </w:rPr>
            </w:pPr>
            <w:r>
              <w:rPr>
                <w:rFonts w:hint="eastAsia" w:ascii="宋体" w:hAnsi="宋体"/>
                <w:b/>
                <w:kern w:val="0"/>
                <w:szCs w:val="21"/>
              </w:rPr>
              <w:t>2、加大艺术师资的培养力度。</w:t>
            </w:r>
            <w:r>
              <w:rPr>
                <w:rFonts w:hint="eastAsia" w:ascii="宋体" w:hAnsi="宋体"/>
                <w:kern w:val="0"/>
                <w:szCs w:val="21"/>
              </w:rPr>
              <w:t>学校现有的艺术师资队伍总体上年轻而又充满活力，成长和进步的空间很大。学校将进一步完善“青蓝工程”，实施“名师工程”，依据艺术教育专任教师制定的《艺术教育个人三年发展计划》；加强专业培训，优化教师知识结构，保证特色项目师资；扎实课堂改革，做实校本教研；强化科研引领与评价激励，加快促进青年教师成长。</w:t>
            </w:r>
          </w:p>
          <w:p>
            <w:pPr>
              <w:adjustRightInd w:val="0"/>
              <w:snapToGrid w:val="0"/>
              <w:spacing w:line="360" w:lineRule="auto"/>
              <w:ind w:firstLine="422" w:firstLineChars="200"/>
              <w:rPr>
                <w:rFonts w:ascii="宋体" w:hAnsi="宋体"/>
                <w:kern w:val="0"/>
                <w:szCs w:val="21"/>
              </w:rPr>
            </w:pPr>
            <w:r>
              <w:rPr>
                <w:rFonts w:hint="eastAsia" w:ascii="宋体" w:hAnsi="宋体"/>
                <w:b/>
                <w:kern w:val="0"/>
                <w:szCs w:val="21"/>
              </w:rPr>
              <w:t>3、加大艺术科研和活动的开展力度。</w:t>
            </w:r>
            <w:r>
              <w:rPr>
                <w:rFonts w:hint="eastAsia" w:ascii="宋体" w:hAnsi="宋体"/>
                <w:kern w:val="0"/>
                <w:szCs w:val="21"/>
              </w:rPr>
              <w:t>学校艺术科研长期引领艺术教育的发展。学校将精心组织科研活动，确保现有艺术课题顺利结题并取得预期的良好成果。在此基础上，开发与课程基地建设相配套的前瞻性项目，并能产生较大的影响。艺术教育特色活动常抓不懈，并能与时俱进，适应社会发展和学校、学生发展的需求。</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4、</w:t>
            </w:r>
            <w:r>
              <w:rPr>
                <w:rFonts w:hint="eastAsia" w:ascii="宋体" w:hAnsi="宋体"/>
                <w:b/>
                <w:kern w:val="0"/>
                <w:szCs w:val="21"/>
              </w:rPr>
              <w:t>积极应对艺术高考新变化。</w:t>
            </w:r>
            <w:r>
              <w:rPr>
                <w:rFonts w:hint="eastAsia" w:ascii="宋体" w:hAnsi="宋体"/>
                <w:kern w:val="0"/>
                <w:szCs w:val="21"/>
              </w:rPr>
              <w:t>面对江苏艺术高考改革的新形势，学校要科学决策，创新布局，在“看清前路”的基础上，扩大来路、夯实道路、拓宽出路。学校要加强艺术教育的信息收集，并组织主题研讨积极应对高考考情的变化。积极把学校的艺术特色教育向初中延伸，扩大联合开办的初中艺术班的影响，培养艺术兴趣浓厚、功底扎实并有良好文化基础的优秀生源队伍。按照多元办学的思路，不断拓展艺术教育的门类，在艺术编导史论、传媒等小众领域与社会力量开展教学合作，同时加大力度开拓艺术教育国际交流的出路。</w:t>
            </w:r>
          </w:p>
          <w:p>
            <w:pPr>
              <w:widowControl/>
              <w:shd w:val="clear" w:color="auto" w:fill="FFFFFF"/>
              <w:adjustRightInd w:val="0"/>
              <w:snapToGrid w:val="0"/>
              <w:spacing w:line="360" w:lineRule="auto"/>
              <w:ind w:firstLine="422" w:firstLineChars="200"/>
              <w:jc w:val="center"/>
              <w:rPr>
                <w:rFonts w:ascii="宋体" w:hAnsi="宋体"/>
                <w:b/>
                <w:bCs/>
                <w:kern w:val="0"/>
                <w:szCs w:val="21"/>
              </w:rPr>
            </w:pPr>
            <w:r>
              <w:rPr>
                <w:rFonts w:hint="eastAsia" w:ascii="宋体" w:hAnsi="宋体"/>
                <w:b/>
                <w:bCs/>
                <w:kern w:val="0"/>
                <w:szCs w:val="21"/>
              </w:rPr>
              <w:t>第四部分  保障系统与实施计划</w:t>
            </w:r>
          </w:p>
          <w:p>
            <w:pPr>
              <w:widowControl/>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 xml:space="preserve">为确保三年主动发展规划顺利实施、卓见成效，学校将从以下三方面予以保障： </w:t>
            </w:r>
          </w:p>
          <w:p>
            <w:pPr>
              <w:widowControl/>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1．组织保障。</w:t>
            </w:r>
            <w:r>
              <w:rPr>
                <w:rFonts w:hint="eastAsia" w:ascii="宋体" w:hAnsi="宋体"/>
                <w:kern w:val="0"/>
                <w:szCs w:val="21"/>
              </w:rPr>
              <w:t>成立由一把手校长担任组长的新一轮学校主动发展自评领导小组和工作小组，切实加强对规划实施的组织领导。学校领导班子、学校党政工团各部门、学校分管条线各处室，将根据规划确定的发展目标，依据“全面发动、全员参与”的工作原则，确立“定人、定岗、定目标”的工作要求，形成“上下联动、系统推进”的工作局面，为学校新一轮发展规划的顺利实施提供有力的组织保障。</w:t>
            </w:r>
          </w:p>
          <w:p>
            <w:pPr>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2．制度保障。</w:t>
            </w:r>
            <w:r>
              <w:rPr>
                <w:rFonts w:hint="eastAsia" w:ascii="宋体" w:hAnsi="宋体"/>
                <w:kern w:val="0"/>
                <w:szCs w:val="21"/>
              </w:rPr>
              <w:t>建立规划实施的过程管理和总结评估制度，规划制定，将广泛听取教师意见，征求教师建议。规划审定，将召开教代会讨论审议。</w:t>
            </w:r>
          </w:p>
          <w:p>
            <w:pPr>
              <w:shd w:val="clear" w:color="auto" w:fill="FFFFFF"/>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规划实施过程，将成立由学校领导、教师代表、外聘专家组成的评估组，督促检查规划实施情况，及时总结经验和发现问题。学校每学期召开一次分析总结会议，实施一年半后组织一次中期评估活动，三年期满组织总结性评估。</w:t>
            </w:r>
          </w:p>
          <w:p>
            <w:pPr>
              <w:shd w:val="clear" w:color="auto" w:fill="FFFFFF"/>
              <w:adjustRightInd w:val="0"/>
              <w:snapToGrid w:val="0"/>
              <w:spacing w:line="360" w:lineRule="auto"/>
              <w:ind w:firstLine="422" w:firstLineChars="200"/>
              <w:jc w:val="left"/>
              <w:rPr>
                <w:rFonts w:ascii="宋体" w:hAnsi="宋体"/>
                <w:kern w:val="0"/>
                <w:szCs w:val="21"/>
              </w:rPr>
            </w:pPr>
            <w:r>
              <w:rPr>
                <w:rFonts w:hint="eastAsia" w:ascii="宋体" w:hAnsi="宋体"/>
                <w:b/>
                <w:bCs/>
                <w:kern w:val="0"/>
                <w:szCs w:val="21"/>
              </w:rPr>
              <w:t>3．环境保障。</w:t>
            </w:r>
            <w:r>
              <w:rPr>
                <w:rFonts w:hint="eastAsia" w:ascii="宋体" w:hAnsi="宋体"/>
                <w:kern w:val="0"/>
                <w:szCs w:val="21"/>
              </w:rPr>
              <w:t>建立规划实施的目标认同机制。调动广大师生参与学校文化建设和教育教学改革的积极性、创造性，从而在校内形成良好的环境氛围。</w:t>
            </w:r>
          </w:p>
          <w:p>
            <w:pPr>
              <w:shd w:val="clear" w:color="auto" w:fill="FFFFFF"/>
              <w:adjustRightInd w:val="0"/>
              <w:snapToGrid w:val="0"/>
              <w:spacing w:line="360" w:lineRule="auto"/>
              <w:ind w:firstLine="420" w:firstLineChars="200"/>
              <w:jc w:val="left"/>
              <w:rPr>
                <w:rFonts w:ascii="宋体" w:hAnsi="宋体"/>
                <w:b/>
                <w:bCs/>
                <w:kern w:val="0"/>
                <w:szCs w:val="21"/>
              </w:rPr>
            </w:pPr>
            <w:r>
              <w:rPr>
                <w:rFonts w:hint="eastAsia" w:ascii="宋体" w:hAnsi="宋体"/>
                <w:kern w:val="0"/>
                <w:szCs w:val="21"/>
              </w:rPr>
              <w:t>加强与各级领导和政府各部门的联系与沟通，争取政策和资金上的大力支持。加强与校友、社会贤达、热衷教育事业的有识之士，以及广大家长的交流与合作，赢得社会各界更多的理解和支持，营造良好的社会环境。加强与高等院校、科研部门、高中名校的交流合作，以寻求更多的教育资源和智力支持。加强与本区各兄弟学校的沟通和联系，在合作交流中共同提高。</w:t>
            </w:r>
          </w:p>
          <w:p>
            <w:pPr>
              <w:widowControl/>
              <w:shd w:val="clear" w:color="auto" w:fill="FFFFFF"/>
              <w:adjustRightInd w:val="0"/>
              <w:snapToGrid w:val="0"/>
              <w:spacing w:line="360" w:lineRule="auto"/>
              <w:ind w:firstLine="422" w:firstLineChars="200"/>
              <w:jc w:val="left"/>
              <w:rPr>
                <w:rFonts w:ascii="宋体" w:hAnsi="宋体"/>
                <w:b/>
                <w:bCs/>
                <w:kern w:val="0"/>
                <w:szCs w:val="21"/>
              </w:rPr>
            </w:pPr>
          </w:p>
          <w:p>
            <w:pPr>
              <w:widowControl/>
              <w:shd w:val="clear" w:color="auto" w:fill="FFFFFF"/>
              <w:adjustRightInd w:val="0"/>
              <w:snapToGrid w:val="0"/>
              <w:spacing w:line="360" w:lineRule="auto"/>
              <w:ind w:firstLine="422" w:firstLineChars="200"/>
              <w:jc w:val="right"/>
              <w:rPr>
                <w:rFonts w:ascii="宋体" w:hAnsi="宋体"/>
                <w:b/>
                <w:bCs/>
                <w:kern w:val="0"/>
                <w:szCs w:val="21"/>
              </w:rPr>
            </w:pPr>
            <w:r>
              <w:rPr>
                <w:rFonts w:hint="eastAsia" w:ascii="宋体" w:hAnsi="宋体"/>
                <w:b/>
                <w:bCs/>
                <w:kern w:val="0"/>
                <w:szCs w:val="21"/>
              </w:rPr>
              <w:t>常州市武进区洛阳高级中学</w:t>
            </w:r>
          </w:p>
          <w:p>
            <w:pPr>
              <w:adjustRightInd w:val="0"/>
              <w:snapToGrid w:val="0"/>
              <w:spacing w:line="360" w:lineRule="auto"/>
              <w:ind w:firstLine="422" w:firstLineChars="200"/>
              <w:jc w:val="right"/>
              <w:rPr>
                <w:rFonts w:ascii="宋体" w:hAnsi="宋体"/>
                <w:b/>
                <w:bCs/>
                <w:kern w:val="0"/>
                <w:szCs w:val="21"/>
              </w:rPr>
            </w:pPr>
            <w:r>
              <w:rPr>
                <w:rFonts w:hint="eastAsia" w:ascii="宋体" w:hAnsi="宋体"/>
                <w:b/>
                <w:bCs/>
                <w:kern w:val="0"/>
                <w:szCs w:val="21"/>
              </w:rPr>
              <w:t>2017年10月</w:t>
            </w:r>
          </w:p>
          <w:p>
            <w:pPr>
              <w:adjustRightInd w:val="0"/>
              <w:snapToGrid w:val="0"/>
              <w:spacing w:line="360" w:lineRule="auto"/>
              <w:ind w:firstLine="422" w:firstLineChars="200"/>
              <w:jc w:val="left"/>
              <w:rPr>
                <w:rFonts w:ascii="宋体" w:hAnsi="宋体"/>
                <w:b/>
                <w:bCs/>
                <w:kern w:val="0"/>
                <w:szCs w:val="21"/>
              </w:rPr>
            </w:pPr>
          </w:p>
          <w:p>
            <w:pPr>
              <w:adjustRightInd w:val="0"/>
              <w:snapToGrid w:val="0"/>
              <w:spacing w:line="360" w:lineRule="auto"/>
              <w:ind w:firstLine="422" w:firstLineChars="200"/>
              <w:jc w:val="left"/>
              <w:rPr>
                <w:rFonts w:ascii="宋体" w:hAnsi="宋体"/>
                <w:b/>
                <w:bCs/>
                <w:kern w:val="0"/>
                <w:szCs w:val="21"/>
              </w:rPr>
            </w:pPr>
          </w:p>
          <w:p>
            <w:pPr>
              <w:adjustRightInd w:val="0"/>
              <w:snapToGrid w:val="0"/>
              <w:spacing w:line="360" w:lineRule="auto"/>
              <w:ind w:firstLine="422" w:firstLineChars="200"/>
              <w:jc w:val="left"/>
              <w:rPr>
                <w:rFonts w:ascii="宋体" w:hAnsi="宋体"/>
                <w:b/>
                <w:bCs/>
                <w:kern w:val="0"/>
                <w:szCs w:val="21"/>
              </w:rPr>
            </w:pPr>
          </w:p>
          <w:p>
            <w:pPr>
              <w:adjustRightInd w:val="0"/>
              <w:snapToGrid w:val="0"/>
              <w:spacing w:line="360" w:lineRule="auto"/>
              <w:ind w:firstLine="422" w:firstLineChars="200"/>
              <w:jc w:val="left"/>
              <w:rPr>
                <w:rFonts w:ascii="宋体" w:hAnsi="宋体"/>
                <w:b/>
                <w:bCs/>
                <w:kern w:val="0"/>
                <w:szCs w:val="21"/>
              </w:rPr>
            </w:pPr>
          </w:p>
          <w:p>
            <w:pPr>
              <w:adjustRightInd w:val="0"/>
              <w:snapToGrid w:val="0"/>
              <w:spacing w:line="360" w:lineRule="auto"/>
              <w:ind w:firstLine="422" w:firstLineChars="200"/>
              <w:jc w:val="left"/>
              <w:rPr>
                <w:rFonts w:ascii="宋体" w:hAnsi="宋体"/>
                <w:b/>
                <w:bCs/>
                <w:kern w:val="0"/>
                <w:szCs w:val="21"/>
              </w:rPr>
            </w:pPr>
          </w:p>
          <w:p>
            <w:pPr>
              <w:adjustRightInd w:val="0"/>
              <w:snapToGrid w:val="0"/>
              <w:spacing w:line="360" w:lineRule="auto"/>
              <w:ind w:firstLine="422" w:firstLineChars="200"/>
              <w:jc w:val="left"/>
              <w:rPr>
                <w:rFonts w:ascii="宋体" w:hAnsi="宋体"/>
                <w:b/>
                <w:bCs/>
                <w:kern w:val="0"/>
                <w:szCs w:val="21"/>
              </w:rPr>
            </w:pPr>
          </w:p>
          <w:p>
            <w:pPr>
              <w:adjustRightInd w:val="0"/>
              <w:snapToGrid w:val="0"/>
              <w:spacing w:line="360" w:lineRule="auto"/>
              <w:ind w:firstLine="422" w:firstLineChars="200"/>
              <w:jc w:val="left"/>
              <w:rPr>
                <w:rFonts w:ascii="宋体" w:hAnsi="宋体"/>
                <w:b/>
                <w:bCs/>
                <w:kern w:val="0"/>
                <w:szCs w:val="21"/>
              </w:rPr>
            </w:pPr>
            <w:r>
              <w:rPr>
                <w:rFonts w:hint="eastAsia" w:ascii="宋体" w:hAnsi="宋体"/>
                <w:b/>
                <w:bCs/>
                <w:kern w:val="0"/>
                <w:szCs w:val="21"/>
              </w:rPr>
              <w:t>专家论证报告</w:t>
            </w:r>
          </w:p>
          <w:p>
            <w:pPr>
              <w:adjustRightInd w:val="0"/>
              <w:snapToGrid w:val="0"/>
              <w:spacing w:line="360" w:lineRule="auto"/>
              <w:ind w:firstLine="420" w:firstLineChars="200"/>
              <w:jc w:val="right"/>
              <w:rPr>
                <w:rFonts w:ascii="宋体"/>
              </w:rPr>
            </w:pPr>
            <w:r>
              <w:rPr>
                <w:rFonts w:ascii="宋体"/>
              </w:rPr>
              <w:drawing>
                <wp:inline distT="0" distB="0" distL="0" distR="0">
                  <wp:extent cx="5689600" cy="5340350"/>
                  <wp:effectExtent l="0" t="0" r="0" b="0"/>
                  <wp:docPr id="3" name="图片 3" descr="C:\Users\lygzxzb\Desktop\我的督导\崔勇支撑材料\c2\C2佐证材料\第五轮主动发展规划专家论证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ygzxzb\Desktop\我的督导\崔勇支撑材料\c2\C2佐证材料\第五轮主动发展规划专家论证书.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89600" cy="5340350"/>
                          </a:xfrm>
                          <a:prstGeom prst="rect">
                            <a:avLst/>
                          </a:prstGeom>
                          <a:noFill/>
                          <a:ln>
                            <a:noFill/>
                          </a:ln>
                        </pic:spPr>
                      </pic:pic>
                    </a:graphicData>
                  </a:graphic>
                </wp:inline>
              </w:drawing>
            </w:r>
          </w:p>
        </w:tc>
      </w:tr>
    </w:tbl>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p>
    <w:p>
      <w:pPr>
        <w:tabs>
          <w:tab w:val="left" w:pos="0"/>
        </w:tabs>
        <w:spacing w:line="560" w:lineRule="exact"/>
        <w:ind w:right="560"/>
        <w:rPr>
          <w:rFonts w:ascii="宋体"/>
          <w:b/>
          <w:sz w:val="28"/>
          <w:szCs w:val="28"/>
        </w:rPr>
      </w:pPr>
      <w:r>
        <w:rPr>
          <w:rFonts w:hint="eastAsia" w:ascii="宋体"/>
          <w:b/>
          <w:sz w:val="28"/>
          <w:szCs w:val="28"/>
        </w:rPr>
        <w:t>20.办学特色建设报告</w:t>
      </w:r>
    </w:p>
    <w:tbl>
      <w:tblPr>
        <w:tblStyle w:val="14"/>
        <w:tblW w:w="92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3" w:hRule="atLeast"/>
        </w:trPr>
        <w:tc>
          <w:tcPr>
            <w:tcW w:w="9299" w:type="dxa"/>
          </w:tcPr>
          <w:p>
            <w:pPr>
              <w:spacing w:line="360" w:lineRule="exact"/>
              <w:ind w:firstLine="1"/>
              <w:jc w:val="center"/>
              <w:rPr>
                <w:rFonts w:ascii="黑体" w:hAnsi="黑体" w:eastAsia="黑体" w:cs="黑体"/>
                <w:b/>
                <w:bCs/>
                <w:sz w:val="28"/>
                <w:szCs w:val="28"/>
              </w:rPr>
            </w:pPr>
            <w:r>
              <w:rPr>
                <w:rFonts w:hint="eastAsia" w:ascii="黑体" w:hAnsi="黑体" w:eastAsia="黑体" w:cs="黑体"/>
                <w:b/>
                <w:bCs/>
                <w:sz w:val="28"/>
                <w:szCs w:val="28"/>
              </w:rPr>
              <w:t>常州市武进区洛阳高级中学艺术教育特色建设报告</w:t>
            </w:r>
          </w:p>
          <w:p>
            <w:pPr>
              <w:spacing w:line="360" w:lineRule="exact"/>
              <w:jc w:val="center"/>
              <w:rPr>
                <w:rFonts w:ascii="宋体" w:hAnsi="宋体"/>
                <w:b/>
                <w:bCs/>
                <w:sz w:val="32"/>
                <w:szCs w:val="32"/>
              </w:rPr>
            </w:pPr>
          </w:p>
          <w:p>
            <w:pPr>
              <w:spacing w:line="360" w:lineRule="exact"/>
              <w:ind w:firstLine="413" w:firstLineChars="196"/>
              <w:rPr>
                <w:rFonts w:ascii="宋体" w:hAnsi="宋体"/>
                <w:b/>
                <w:szCs w:val="21"/>
              </w:rPr>
            </w:pPr>
            <w:r>
              <w:rPr>
                <w:rFonts w:hint="eastAsia" w:ascii="宋体" w:hAnsi="宋体"/>
                <w:b/>
                <w:szCs w:val="21"/>
              </w:rPr>
              <w:t>一、艺术教育特色发展背景</w:t>
            </w:r>
          </w:p>
          <w:p>
            <w:pPr>
              <w:spacing w:line="360" w:lineRule="exact"/>
              <w:ind w:firstLine="420" w:firstLineChars="200"/>
              <w:rPr>
                <w:rFonts w:ascii="宋体" w:hAnsi="宋体"/>
                <w:szCs w:val="21"/>
              </w:rPr>
            </w:pPr>
            <w:r>
              <w:rPr>
                <w:rFonts w:hint="eastAsia" w:ascii="宋体" w:hAnsi="宋体"/>
                <w:szCs w:val="21"/>
              </w:rPr>
              <w:t>洛阳高级中学，前身为创办于1956年的“武进县洛阳初级中学”；</w:t>
            </w:r>
            <w:r>
              <w:rPr>
                <w:rFonts w:ascii="宋体" w:hAnsi="宋体"/>
                <w:szCs w:val="21"/>
              </w:rPr>
              <w:t>1968</w:t>
            </w:r>
            <w:r>
              <w:rPr>
                <w:rFonts w:hint="eastAsia" w:ascii="宋体" w:hAnsi="宋体"/>
                <w:szCs w:val="21"/>
              </w:rPr>
              <w:t>年起设高中部，更名为“武进县洛阳中学”。1998年成为常州市重点中学，2002年成为江苏省重点中学，2004年转评为江苏省三星级普通高中。2013年5月，学校完成初高中分设，在现址成立“常州市武进区洛阳高级中学”，成为一所独立设置、独立法人的全日制公办高中。</w:t>
            </w:r>
          </w:p>
          <w:p>
            <w:pPr>
              <w:spacing w:line="360" w:lineRule="exact"/>
              <w:ind w:firstLine="420" w:firstLineChars="200"/>
              <w:rPr>
                <w:rFonts w:ascii="宋体" w:hAnsi="宋体"/>
                <w:szCs w:val="21"/>
              </w:rPr>
            </w:pPr>
            <w:r>
              <w:rPr>
                <w:rFonts w:hint="eastAsia" w:ascii="宋体" w:hAnsi="宋体"/>
                <w:szCs w:val="21"/>
              </w:rPr>
              <w:t>学校在多年的办学历程中，秉承“让学生收获成功”的办学理念，坚持“发展必须创新，创新形成特色，特色彰显内涵，特色推动发展”的信念，确立了“以特色建设促进教育优质发展”的战略，不断强化科学发展、特色发展、优质发展、品牌发展的意识，积极探索突破学校区域位置、生源组成制约的发展瓶颈之举措。学校于1997年创办高中音美特色班，开始了普通高中培育艺术教育特色的探索。2005年，学校被评为“常州市艺术特色学校”；2010年，被评为“江苏省艺术教育特色学校”，成为武进区高中阶段唯一的省级艺术教育特色学校；2011年，被评为“全国百强特色学校”，鲜明的艺术教育办学特色初步形成。2014年，学校成功创建成为江苏省四星级普通高中，凭特色创四星，创四星强特色，学校在艺术特色教育的发展之路上正向更加高远的目标迈进。</w:t>
            </w:r>
          </w:p>
          <w:p>
            <w:pPr>
              <w:spacing w:line="360" w:lineRule="exact"/>
              <w:ind w:firstLine="413" w:firstLineChars="196"/>
              <w:rPr>
                <w:rFonts w:ascii="宋体" w:hAnsi="宋体"/>
                <w:b/>
                <w:szCs w:val="21"/>
              </w:rPr>
            </w:pPr>
            <w:r>
              <w:rPr>
                <w:rFonts w:hint="eastAsia" w:ascii="宋体" w:hAnsi="宋体"/>
                <w:b/>
                <w:szCs w:val="21"/>
              </w:rPr>
              <w:t>（一）特色办学的认识</w:t>
            </w:r>
          </w:p>
          <w:p>
            <w:pPr>
              <w:spacing w:line="360" w:lineRule="exact"/>
              <w:ind w:firstLine="420" w:firstLineChars="200"/>
              <w:rPr>
                <w:rFonts w:ascii="宋体" w:hAnsi="宋体"/>
                <w:bCs/>
                <w:szCs w:val="21"/>
              </w:rPr>
            </w:pPr>
            <w:r>
              <w:rPr>
                <w:rFonts w:hint="eastAsia" w:ascii="宋体" w:hAnsi="宋体"/>
                <w:bCs/>
                <w:szCs w:val="21"/>
              </w:rPr>
              <w:t>1．优质特色发展是学校新时期转型和准确定位的必然要求。</w:t>
            </w:r>
          </w:p>
          <w:p>
            <w:pPr>
              <w:spacing w:line="360" w:lineRule="exact"/>
              <w:ind w:firstLine="420" w:firstLineChars="200"/>
              <w:rPr>
                <w:rFonts w:ascii="宋体" w:hAnsi="宋体"/>
                <w:bCs/>
                <w:szCs w:val="21"/>
              </w:rPr>
            </w:pPr>
            <w:r>
              <w:rPr>
                <w:rFonts w:hint="eastAsia" w:ascii="宋体" w:hAnsi="宋体"/>
                <w:bCs/>
                <w:szCs w:val="21"/>
              </w:rPr>
              <w:t>2．办学特色是笃行学校主动发展的重要目标和追求。</w:t>
            </w:r>
          </w:p>
          <w:p>
            <w:pPr>
              <w:spacing w:line="360" w:lineRule="exact"/>
              <w:ind w:firstLine="420" w:firstLineChars="200"/>
              <w:rPr>
                <w:rFonts w:ascii="宋体" w:hAnsi="宋体"/>
                <w:bCs/>
                <w:szCs w:val="21"/>
              </w:rPr>
            </w:pPr>
            <w:r>
              <w:rPr>
                <w:rFonts w:hint="eastAsia" w:ascii="宋体" w:hAnsi="宋体"/>
                <w:bCs/>
                <w:szCs w:val="21"/>
              </w:rPr>
              <w:t>3．办学特色基于历史积淀，需要长期稳定的持续实施。</w:t>
            </w:r>
          </w:p>
          <w:p>
            <w:pPr>
              <w:spacing w:line="360" w:lineRule="exact"/>
              <w:ind w:firstLine="413" w:firstLineChars="196"/>
              <w:rPr>
                <w:rFonts w:ascii="宋体" w:hAnsi="宋体"/>
                <w:b/>
                <w:szCs w:val="21"/>
              </w:rPr>
            </w:pPr>
            <w:r>
              <w:rPr>
                <w:rFonts w:hint="eastAsia" w:ascii="宋体" w:hAnsi="宋体"/>
                <w:b/>
                <w:szCs w:val="21"/>
              </w:rPr>
              <w:t>（二）学校艺术教育特色的选择</w:t>
            </w:r>
          </w:p>
          <w:p>
            <w:pPr>
              <w:spacing w:line="360" w:lineRule="exact"/>
              <w:ind w:firstLine="420" w:firstLineChars="200"/>
              <w:rPr>
                <w:rFonts w:ascii="宋体" w:hAnsi="宋体"/>
                <w:szCs w:val="21"/>
              </w:rPr>
            </w:pPr>
            <w:r>
              <w:rPr>
                <w:rFonts w:hint="eastAsia" w:ascii="宋体" w:hAnsi="宋体"/>
                <w:szCs w:val="21"/>
              </w:rPr>
              <w:t>洛阳高级中学位于苏锡常都市圈的常州市武进区东南部的洛阳镇，与无锡接壤，紧靠312国道、沪宁高速、沿江高速、沪宁铁路和新长铁路，232省道、武进港纵贯镇域，交通便利。所处洛阳镇距今已有1400多年的历史，底蕴丰厚，人文荟萃，具有良好的人文环境，具备较强的经济实力。在恢复高考之初，学校曾有过录取大学、中专总人数武进市第一的辉煌，也有学生考取清华、北大、南大或者留学欧美的荣耀。随着政策、地域、投入等原因，学校生源基础下滑。面对生存与发展的新课题，学校审时度势，积极转型，多元发展，以凸显艺术教育的内涵和价值为突破口，提出了音美特色办学的发展思路。1997年，经批准，学校初、高中各成立一个音美特色班，面向武进区招收音乐美术特长生。由此，学校正式开启并不断改进以艺术教育为重点的特色发展之路。</w:t>
            </w:r>
          </w:p>
          <w:p>
            <w:pPr>
              <w:spacing w:line="360" w:lineRule="exact"/>
              <w:ind w:firstLine="413" w:firstLineChars="196"/>
              <w:rPr>
                <w:rFonts w:ascii="宋体" w:hAnsi="宋体"/>
                <w:b/>
                <w:szCs w:val="21"/>
              </w:rPr>
            </w:pPr>
            <w:r>
              <w:rPr>
                <w:rFonts w:hint="eastAsia" w:ascii="宋体" w:hAnsi="宋体"/>
                <w:b/>
                <w:szCs w:val="21"/>
              </w:rPr>
              <w:t>二、艺术教育特色创建目标</w:t>
            </w:r>
          </w:p>
          <w:p>
            <w:pPr>
              <w:spacing w:line="360" w:lineRule="exact"/>
              <w:ind w:firstLine="435"/>
              <w:rPr>
                <w:rFonts w:ascii="宋体" w:hAnsi="宋体"/>
                <w:szCs w:val="21"/>
              </w:rPr>
            </w:pPr>
            <w:r>
              <w:rPr>
                <w:rFonts w:hint="eastAsia" w:ascii="宋体" w:hAnsi="宋体"/>
                <w:szCs w:val="21"/>
              </w:rPr>
              <w:t>特色创建目标的定位，决定着一所学校发展的方向和目标，是特色创建过程中最重要的阶段和步骤。近年来，洛阳高级中学坚持“让学生收获成功”的办学理念，聚焦“成功”的目标，充分挖掘艺术教育特色的潜力，不断深化艺术教育特色建设的内涵，拓展其外延，逐渐形成了特色创建的整体性设计和目标定位。</w:t>
            </w:r>
          </w:p>
          <w:p>
            <w:pPr>
              <w:spacing w:line="360" w:lineRule="exact"/>
              <w:ind w:firstLine="422" w:firstLineChars="200"/>
              <w:rPr>
                <w:rFonts w:ascii="宋体" w:hAnsi="宋体"/>
                <w:szCs w:val="21"/>
              </w:rPr>
            </w:pPr>
            <w:r>
              <w:rPr>
                <w:rFonts w:hint="eastAsia" w:ascii="宋体" w:hAnsi="宋体"/>
                <w:b/>
                <w:szCs w:val="21"/>
              </w:rPr>
              <w:t>（一）创造性实施素质教育。</w:t>
            </w:r>
            <w:r>
              <w:rPr>
                <w:rFonts w:hint="eastAsia" w:ascii="宋体" w:hAnsi="宋体"/>
                <w:szCs w:val="21"/>
              </w:rPr>
              <w:t>为具备艺术兴趣和特长的学生提供专业支持，进而让学校每一个学生都接受艺术熏陶，提高全体学生的艺术素养，充分凸显艺术教育在实施素质教育过程中的巨大价值和深远意义。</w:t>
            </w:r>
          </w:p>
          <w:p>
            <w:pPr>
              <w:spacing w:line="360" w:lineRule="exact"/>
              <w:ind w:firstLine="422" w:firstLineChars="200"/>
              <w:rPr>
                <w:rFonts w:ascii="宋体" w:hAnsi="宋体"/>
                <w:szCs w:val="21"/>
              </w:rPr>
            </w:pPr>
            <w:r>
              <w:rPr>
                <w:rFonts w:hint="eastAsia" w:ascii="宋体" w:hAnsi="宋体"/>
                <w:b/>
                <w:szCs w:val="21"/>
              </w:rPr>
              <w:t>（二）“校本化”优化普高教育。</w:t>
            </w:r>
            <w:r>
              <w:rPr>
                <w:rFonts w:hint="eastAsia" w:ascii="宋体" w:hAnsi="宋体"/>
                <w:szCs w:val="21"/>
              </w:rPr>
              <w:t>以发展学生艺术特长为重要抓手，促进学生多元发展，为学生的升学、就业等提供平台，开拓多种通道。这无疑也是学校改革发展的重要目标和追求。</w:t>
            </w:r>
          </w:p>
          <w:p>
            <w:pPr>
              <w:spacing w:line="360" w:lineRule="exact"/>
              <w:ind w:firstLine="435"/>
              <w:rPr>
                <w:rFonts w:ascii="宋体" w:hAnsi="宋体"/>
                <w:szCs w:val="21"/>
              </w:rPr>
            </w:pPr>
            <w:r>
              <w:rPr>
                <w:rFonts w:hint="eastAsia" w:ascii="宋体" w:hAnsi="宋体"/>
                <w:b/>
                <w:szCs w:val="21"/>
              </w:rPr>
              <w:t>（三）多渠道提升教师素质。</w:t>
            </w:r>
            <w:r>
              <w:rPr>
                <w:rFonts w:hint="eastAsia" w:ascii="宋体" w:hAnsi="宋体"/>
                <w:szCs w:val="21"/>
              </w:rPr>
              <w:t>艺术教育特色的创建，对学校艺术师资队伍的专业发展提出了更高要求。学校在积极参加各级各类培训学习的基础上，要不断加强与高等艺术院校的合作，加强与区域同类特色学校的合作，不断提升艺教教师的专业发展水平，并由此辐射、引领学校各个学科教师的专业成长。</w:t>
            </w:r>
          </w:p>
          <w:p>
            <w:pPr>
              <w:spacing w:line="360" w:lineRule="exact"/>
              <w:ind w:firstLine="435"/>
              <w:rPr>
                <w:rFonts w:ascii="宋体" w:hAnsi="宋体"/>
                <w:szCs w:val="21"/>
              </w:rPr>
            </w:pPr>
            <w:r>
              <w:rPr>
                <w:rFonts w:hint="eastAsia" w:ascii="宋体" w:hAnsi="宋体"/>
                <w:b/>
                <w:szCs w:val="21"/>
              </w:rPr>
              <w:t>（四）开拓性打造学校品牌。</w:t>
            </w:r>
            <w:r>
              <w:rPr>
                <w:rFonts w:hint="eastAsia" w:ascii="宋体" w:hAnsi="宋体"/>
                <w:szCs w:val="21"/>
              </w:rPr>
              <w:t>以发展艺术教育特色为重点，不断拓宽学生多元化发展之路，不断提高学校文化品位和办学水平，积极发挥本校艺术特色教育的区域辐射作用，努力把学校办成现代化、高质量的，省内领先、国内知名的普通高中艺术特色学校。</w:t>
            </w:r>
          </w:p>
          <w:p>
            <w:pPr>
              <w:spacing w:line="360" w:lineRule="exact"/>
              <w:ind w:firstLine="422" w:firstLineChars="200"/>
              <w:rPr>
                <w:rFonts w:ascii="宋体" w:hAnsi="宋体"/>
                <w:b/>
                <w:szCs w:val="21"/>
              </w:rPr>
            </w:pPr>
            <w:r>
              <w:rPr>
                <w:rFonts w:hint="eastAsia" w:ascii="宋体" w:hAnsi="宋体"/>
                <w:b/>
                <w:szCs w:val="21"/>
              </w:rPr>
              <w:t>三、艺术教育特色发展轨迹</w:t>
            </w:r>
          </w:p>
          <w:p>
            <w:pPr>
              <w:spacing w:line="360" w:lineRule="exact"/>
              <w:ind w:firstLine="420" w:firstLineChars="200"/>
              <w:rPr>
                <w:rFonts w:ascii="宋体" w:hAnsi="宋体"/>
                <w:szCs w:val="21"/>
              </w:rPr>
            </w:pPr>
            <w:r>
              <w:rPr>
                <w:rFonts w:hint="eastAsia" w:ascii="宋体" w:hAnsi="宋体"/>
                <w:szCs w:val="21"/>
              </w:rPr>
              <w:t>洛阳高级中学的艺术教育特色创建经历了三次跨越式的发展，从优势项目到项目特色，从项目特色到学校特色，从学校特色到特色学校。这是一个长期的教育创新发展的过程。</w:t>
            </w:r>
          </w:p>
          <w:p>
            <w:pPr>
              <w:spacing w:line="360" w:lineRule="exact"/>
              <w:ind w:firstLine="422" w:firstLineChars="200"/>
              <w:rPr>
                <w:rFonts w:ascii="宋体" w:hAnsi="宋体"/>
                <w:b/>
                <w:szCs w:val="21"/>
              </w:rPr>
            </w:pPr>
            <w:r>
              <w:rPr>
                <w:rFonts w:hint="eastAsia" w:ascii="宋体" w:hAnsi="宋体"/>
                <w:b/>
                <w:szCs w:val="21"/>
              </w:rPr>
              <w:t>（一）“从无到有”，特色教育谱写新篇章（1997—2005年）</w:t>
            </w:r>
          </w:p>
          <w:p>
            <w:pPr>
              <w:spacing w:line="360" w:lineRule="exact"/>
              <w:ind w:firstLine="420" w:firstLineChars="200"/>
              <w:rPr>
                <w:rFonts w:ascii="宋体" w:hAnsi="宋体"/>
                <w:szCs w:val="21"/>
              </w:rPr>
            </w:pPr>
            <w:r>
              <w:rPr>
                <w:rFonts w:hint="eastAsia" w:ascii="宋体" w:hAnsi="宋体"/>
                <w:szCs w:val="21"/>
              </w:rPr>
              <w:t>洛阳高级中学举办艺术教育特色，始于1997年。学校基于区域高中布局调整的大背景和“特色兴校”的追求，首次提出了音美特色办学的发展思路，并经武进教育局批准，初、高中各成立一个音美特色班，面向武进区招收音乐、美术特长生。学校确立了艺术教育特色项目，也开启了艺术教育特色创建的序幕。</w:t>
            </w:r>
          </w:p>
          <w:p>
            <w:pPr>
              <w:spacing w:line="360" w:lineRule="exact"/>
              <w:ind w:firstLine="420" w:firstLineChars="200"/>
              <w:rPr>
                <w:rFonts w:ascii="宋体" w:hAnsi="宋体"/>
                <w:szCs w:val="21"/>
              </w:rPr>
            </w:pPr>
            <w:r>
              <w:rPr>
                <w:rFonts w:hint="eastAsia" w:ascii="宋体" w:hAnsi="宋体"/>
                <w:szCs w:val="21"/>
              </w:rPr>
              <w:t>学校积极加强艺术教育队伍建设，提高艺术教育教学质量，谋求社会的认同与支持，并在2000年高考中取得佳绩，本科录取率高达92%。音美特色班“从无到有”，学校艺术特色教育成功突围，学校发展开始走一条特色强校求发展之路，为后续的做大、做强奠定了良好基础。学校果断提出由音美特色项目发展为学校特色的长远规划，并明确提出创建“常州市艺术特色学校”的阶段目标。</w:t>
            </w:r>
          </w:p>
          <w:p>
            <w:pPr>
              <w:spacing w:line="360" w:lineRule="exact"/>
              <w:ind w:firstLine="420" w:firstLineChars="200"/>
              <w:rPr>
                <w:rFonts w:ascii="宋体" w:hAnsi="宋体"/>
                <w:szCs w:val="21"/>
              </w:rPr>
            </w:pPr>
            <w:r>
              <w:rPr>
                <w:rFonts w:hint="eastAsia" w:ascii="宋体" w:hAnsi="宋体"/>
                <w:szCs w:val="21"/>
              </w:rPr>
              <w:t>2001年以来，学校艺术教育特色赢得了社会极大的信任，学校艺术特色班逐步扩大到每个年级3-5个班；艺术专业教育质量也连年提升，连续五年本科录取率达90%以上，引发区域轰动。艺术教育普及面不断扩大，学校的知名度和影响力也在提升。2004年，学校被命名为武进区最高级别“特色学校二星级”；2005年底，学校成功创建“常州市艺术教育特色学校”，跨出里程碑式的一步。</w:t>
            </w:r>
          </w:p>
          <w:p>
            <w:pPr>
              <w:spacing w:line="360" w:lineRule="exact"/>
              <w:ind w:firstLine="422" w:firstLineChars="200"/>
              <w:rPr>
                <w:rFonts w:ascii="宋体" w:hAnsi="宋体"/>
                <w:b/>
                <w:szCs w:val="21"/>
              </w:rPr>
            </w:pPr>
            <w:r>
              <w:rPr>
                <w:rFonts w:hint="eastAsia" w:ascii="宋体" w:hAnsi="宋体"/>
                <w:b/>
                <w:szCs w:val="21"/>
              </w:rPr>
              <w:t>（二）“从有到优”，艺术特色迎来快发展（2006—2014年）</w:t>
            </w:r>
          </w:p>
          <w:p>
            <w:pPr>
              <w:spacing w:line="360" w:lineRule="exact"/>
              <w:ind w:firstLine="420" w:firstLineChars="200"/>
              <w:rPr>
                <w:rFonts w:ascii="宋体" w:hAnsi="宋体"/>
                <w:szCs w:val="21"/>
              </w:rPr>
            </w:pPr>
            <w:r>
              <w:rPr>
                <w:rFonts w:hint="eastAsia" w:ascii="宋体" w:hAnsi="宋体"/>
                <w:szCs w:val="21"/>
              </w:rPr>
              <w:t>随着艺术教育特色的深入发展，学校深切地认识到高考丰收绝不是艺术教育价值的全部。艺术教育对师生素养提升的普及性、艺术之美对校园环境优化的导向性、艺术课程开发对课程建设的丰富性、艺术教育对学校文化建设、品位提升的渗透性等成为学校领导新的审视维度，经学校第一轮（2005-2008）、第二轮（2009-2011）和第三轮（2011-2014）三年主动发展规划，学校提出品牌战略，即普及与提高相结合的特色教育创建思路，确立了创建“江苏省艺术教育特色学校”的阶段发展目标。</w:t>
            </w:r>
          </w:p>
          <w:p>
            <w:pPr>
              <w:spacing w:line="360" w:lineRule="exact"/>
              <w:ind w:firstLine="420" w:firstLineChars="200"/>
              <w:rPr>
                <w:rFonts w:ascii="宋体" w:hAnsi="宋体"/>
                <w:szCs w:val="21"/>
              </w:rPr>
            </w:pPr>
            <w:r>
              <w:rPr>
                <w:rFonts w:hint="eastAsia" w:ascii="宋体" w:hAnsi="宋体"/>
                <w:szCs w:val="21"/>
              </w:rPr>
              <w:t>2006年以来，学校以打造特色品牌为目标，有计划、有步骤地实施品牌战略。不断壮大特色办学规模，专业班扩大到每届六班以上；协作办学向上下游延伸，与中央音乐学院、中国美术学院等国内顶尖大学建立实质性协作关系，与武进区湖塘桥初中进一步联办特长生班，扩大优秀生源基础；提高学生培养目标层次，由瞄准本科到瞄准一流名校；聘请高校专家为“客座教授”，不仅定期为学生授课，还与学校青年教师结成师徒关系，以尽快建设一支校内的专家型专业师资队伍。品牌战略的实施，实现了提升质量、扩大影响、增强吸引力的预期目标。更为突出的是，学校连续多年实现了艺术教育质量的优质发展，全区全市同类学校无出其右者。同时，学校以校园环境布置、课堂教学改革、校本课程开发、特色社团活动组织和教师艺术素养提升为重点，着力打造学校艺术教育文化，提炼了鲜明的校本化艺术教育宗旨：教会学生学习方法，培养学生艺术特长，引领学生艺术人生，构造社会艺术品质。2010年，学校高标准通过评估，创建成“江苏省艺术教育特色学校”；2011年，学校被授予“全国百强特色学校”称号。学校艺术教育特色品牌初步形成，使学生收获了成功、教师获得了发展，学校赢得了赞誉，进一步提升了学校素质教育的水平。</w:t>
            </w:r>
          </w:p>
          <w:p>
            <w:pPr>
              <w:spacing w:line="360" w:lineRule="exact"/>
              <w:ind w:firstLine="422" w:firstLineChars="200"/>
              <w:rPr>
                <w:rFonts w:ascii="宋体" w:hAnsi="宋体"/>
                <w:b/>
                <w:szCs w:val="21"/>
              </w:rPr>
            </w:pPr>
            <w:r>
              <w:rPr>
                <w:rFonts w:hint="eastAsia" w:ascii="宋体" w:hAnsi="宋体"/>
                <w:b/>
                <w:szCs w:val="21"/>
              </w:rPr>
              <w:t>（三）“从优到强”，特色品牌铸就高质量（2014年至今）</w:t>
            </w:r>
          </w:p>
          <w:p>
            <w:pPr>
              <w:spacing w:line="360" w:lineRule="exact"/>
              <w:ind w:firstLine="420" w:firstLineChars="200"/>
              <w:rPr>
                <w:rFonts w:ascii="宋体" w:hAnsi="宋体"/>
                <w:szCs w:val="21"/>
              </w:rPr>
            </w:pPr>
            <w:r>
              <w:rPr>
                <w:rFonts w:hint="eastAsia" w:ascii="宋体" w:hAnsi="宋体"/>
                <w:szCs w:val="21"/>
              </w:rPr>
              <w:t>2013年5月学校实现初高中分设，2014年3月，学校创建成为江苏省四星级普通高中。成为四星高中是学校发展的一次重大进步和质的飞跃。学校从分设和创建工作伊始，就秉承“以评促建、以评促进、以评促发展”的理念，对学校的办学历史和教育历程进行了全面的梳理和总结，进一步理清了学校未来的办学思路和方向。其中坚定不移地走“主动发展，内涵发展，特色发展，优质发展”的道路成为全校的一致共识，坚持把艺术教育品牌做优做强，成为洛高人的共同追求。创成四星以来，面对江苏艺术高考改革的新形势，学校科学决策，创新布局，在“看清前路”的基础上，扩大来路、夯实道路、拓宽出路，砥砺前行，完成了学校艺术品牌从“大而优”，到“精而强”的转变。</w:t>
            </w:r>
          </w:p>
          <w:p>
            <w:pPr>
              <w:spacing w:line="360" w:lineRule="exact"/>
              <w:ind w:firstLine="420" w:firstLineChars="200"/>
              <w:rPr>
                <w:rFonts w:ascii="宋体" w:hAnsi="宋体"/>
                <w:szCs w:val="21"/>
              </w:rPr>
            </w:pPr>
            <w:r>
              <w:rPr>
                <w:rFonts w:hint="eastAsia" w:ascii="宋体" w:hAnsi="宋体"/>
                <w:szCs w:val="21"/>
              </w:rPr>
              <w:t>学校专门进行艺术教育的信息收集，并组织主题研讨积极应对高考考情的变化。把学校的艺术特色教育向初中延伸，与湖塘初中、横林初中、洛阳初中等学校联合开办初中艺术班，培养艺术兴趣浓厚、功底扎实并有良好文化基础的优秀生源队伍。学校继承原有办学经验并加强过程管理，委任艺术老师担任专业班的班主任，创建更加符合艺术班特点的班级管理制度，强化艺术学习的过程管理。学校秉承让学生收获成功的办学理念，按照多元办学的思路，不断拓展艺术教育的门类，在艺术编导史论、传媒等小众领域与社会力量开展教学合作，同时开拓艺术教育国际交流的出路。学校2016年开始在武进区内首创传媒班招生。从2013年开始与江苏省卓越日语专修学院联合办学，已将80多位学生送到日本高校就读。学校2015年成为中国美术学院优质生源基地学校。2014年以来，艺术班的高考本科达线率每年都在90%以上。</w:t>
            </w:r>
          </w:p>
          <w:p>
            <w:pPr>
              <w:spacing w:line="360" w:lineRule="exact"/>
              <w:ind w:firstLine="413" w:firstLineChars="196"/>
              <w:rPr>
                <w:rFonts w:ascii="宋体" w:hAnsi="宋体"/>
                <w:b/>
                <w:szCs w:val="21"/>
              </w:rPr>
            </w:pPr>
            <w:r>
              <w:rPr>
                <w:rFonts w:hint="eastAsia" w:ascii="宋体" w:hAnsi="宋体"/>
                <w:b/>
                <w:szCs w:val="21"/>
              </w:rPr>
              <w:t xml:space="preserve">四、艺术教育特色发展策略 </w:t>
            </w:r>
          </w:p>
          <w:p>
            <w:pPr>
              <w:spacing w:line="360" w:lineRule="exact"/>
              <w:ind w:firstLine="413" w:firstLineChars="196"/>
              <w:rPr>
                <w:rFonts w:ascii="宋体" w:hAnsi="宋体"/>
                <w:szCs w:val="21"/>
              </w:rPr>
            </w:pPr>
            <w:r>
              <w:rPr>
                <w:rFonts w:hint="eastAsia" w:ascii="宋体" w:hAnsi="宋体"/>
                <w:b/>
                <w:szCs w:val="21"/>
              </w:rPr>
              <w:t>（一）加强领导，提供创建组织保障。</w:t>
            </w:r>
            <w:r>
              <w:rPr>
                <w:rFonts w:hint="eastAsia" w:ascii="宋体" w:hAnsi="宋体"/>
                <w:szCs w:val="21"/>
              </w:rPr>
              <w:t>在确立艺术教育特色创建战略后，学校成立艺术特色教育领导小组，单独组建音乐教研组和美术教研组；2001年以来，进一步完善了艺术教育管理网络，由校长和分管副校长负责特色教育的科学决策；音乐和美术教研组长负责学科教学和活动的组织指导。艺术教育工作在每个学期的学校工作计划中都有明确部署。良好的组织建设，确保了艺术教育工作的扎实开展。</w:t>
            </w:r>
          </w:p>
          <w:p>
            <w:pPr>
              <w:spacing w:line="360" w:lineRule="exact"/>
              <w:ind w:firstLine="413" w:firstLineChars="196"/>
              <w:rPr>
                <w:rFonts w:ascii="宋体" w:hAnsi="宋体"/>
                <w:szCs w:val="21"/>
              </w:rPr>
            </w:pPr>
            <w:r>
              <w:rPr>
                <w:rFonts w:hint="eastAsia" w:ascii="宋体" w:hAnsi="宋体"/>
                <w:b/>
                <w:szCs w:val="21"/>
              </w:rPr>
              <w:t>（二）健全制度，规范创建过程管理。</w:t>
            </w:r>
            <w:r>
              <w:rPr>
                <w:rFonts w:hint="eastAsia" w:ascii="宋体" w:hAnsi="宋体"/>
                <w:szCs w:val="21"/>
              </w:rPr>
              <w:t>近年来，为保障学校艺术教育特色创建工作的健康、有序开展，学校制定了一系列制度，主要包括《洛阳高级中学艺术教育发展规划》《洛阳高级中学艺术团章程》《洛阳高级中学艺教处主任职责》《洛阳高级中学艺术教育专业引领教师实施办法》《洛阳高级中学艺术教师八禁》《洛阳高级中学艺术楼管理员岗位职责》《洛阳高级中学艺术学科聘请客座教授暂行办法》《洛阳高级中学艺术楼管理十不准制度》《洛阳高级中学艺教联谊会章程》等。</w:t>
            </w:r>
          </w:p>
          <w:p>
            <w:pPr>
              <w:spacing w:line="360" w:lineRule="exact"/>
              <w:ind w:firstLine="413" w:firstLineChars="196"/>
              <w:rPr>
                <w:rFonts w:ascii="宋体" w:hAnsi="宋体"/>
                <w:szCs w:val="21"/>
              </w:rPr>
            </w:pPr>
            <w:r>
              <w:rPr>
                <w:rFonts w:hint="eastAsia" w:ascii="宋体" w:hAnsi="宋体"/>
                <w:b/>
                <w:szCs w:val="21"/>
              </w:rPr>
              <w:t>（三）打造队伍，确保创建有效实施。</w:t>
            </w:r>
            <w:r>
              <w:rPr>
                <w:rFonts w:hint="eastAsia" w:ascii="宋体" w:hAnsi="宋体"/>
                <w:szCs w:val="21"/>
              </w:rPr>
              <w:t>在特色办学的过程中，拥有一支师德高尚、业务精湛的高素质、专业化教师队伍，是成功的关键。学校着力加强艺术教育教师队伍建设。</w:t>
            </w:r>
          </w:p>
          <w:p>
            <w:pPr>
              <w:spacing w:line="360" w:lineRule="exact"/>
              <w:ind w:firstLine="413" w:firstLineChars="196"/>
              <w:rPr>
                <w:rFonts w:ascii="宋体" w:hAnsi="宋体"/>
                <w:b/>
                <w:szCs w:val="21"/>
              </w:rPr>
            </w:pPr>
            <w:r>
              <w:rPr>
                <w:rFonts w:hint="eastAsia" w:ascii="宋体" w:hAnsi="宋体"/>
                <w:b/>
                <w:szCs w:val="21"/>
              </w:rPr>
              <w:t>1．立足学校，提升专业教师水平。</w:t>
            </w:r>
            <w:r>
              <w:rPr>
                <w:rFonts w:hint="eastAsia" w:ascii="宋体" w:hAnsi="宋体"/>
                <w:szCs w:val="21"/>
              </w:rPr>
              <w:t>完善“青蓝工程”，实施“名师工程”，艺术教育专任教师制定了《艺术教育个人三年发展计划》；加强专业培训，优化教师知识结构，保证特色项目师资；扎实课堂改革，做实校本教研；强化科研引领与评价激励。学校先后出台了《洛阳高级中学教职工学习制度》《洛阳高级中学校本课程开发方案》《洛阳高级中学艺术教师教学常规考核办法》《洛阳高级中学教学质量奖励办法》《洛阳高级中学教学、科研奖励办法》《洛阳高级中学教研组、备课组考核办法》等管理制度。学校通过师能大练兵活动、青年教师教学基本功竞赛、青年教师“汇报课”、特级教师、学科带头人示范课、校内外骨干教师“同题异构”等多种形式，搭建平台，</w:t>
            </w:r>
            <w:r>
              <w:rPr>
                <w:rFonts w:ascii="宋体" w:hAnsi="宋体"/>
                <w:szCs w:val="21"/>
              </w:rPr>
              <w:t>在尽可能短的时间内</w:t>
            </w:r>
            <w:r>
              <w:rPr>
                <w:rFonts w:hint="eastAsia" w:ascii="宋体" w:hAnsi="宋体"/>
                <w:szCs w:val="21"/>
              </w:rPr>
              <w:t>提高艺术青年教师驾驭课堂的能力。三年来，艺术教育教师11人中，有2人晋升市教坛新秀，2人成为市、区骨干教师，并在课堂教学、基本功比赛等活动中屡获国家级、省市级一等奖。</w:t>
            </w:r>
          </w:p>
          <w:p>
            <w:pPr>
              <w:spacing w:line="360" w:lineRule="exact"/>
              <w:ind w:firstLine="413" w:firstLineChars="196"/>
              <w:rPr>
                <w:rFonts w:ascii="宋体" w:hAnsi="宋体"/>
                <w:szCs w:val="21"/>
              </w:rPr>
            </w:pPr>
            <w:r>
              <w:rPr>
                <w:rFonts w:hint="eastAsia" w:ascii="宋体" w:hAnsi="宋体"/>
                <w:b/>
                <w:szCs w:val="21"/>
              </w:rPr>
              <w:t>2．借力高校，建立优质指导团队。</w:t>
            </w:r>
            <w:r>
              <w:rPr>
                <w:rFonts w:hint="eastAsia" w:ascii="宋体" w:hAnsi="宋体"/>
                <w:szCs w:val="21"/>
              </w:rPr>
              <w:t>学校高度重视与高等艺术院校的合作，先后与扬大、南师大、南艺等建立协作关系，多次邀请清华大学美术学院张世川教授、莱佛士教育集团教育专家Christopher  Neville先生等专家来校讲学。并聘请了中国美术学院教授、硕导曹兴军，中央音乐学院教授高建进，江南大学教授、博导顾平，华东师范大学教授、博导阮荣春，南京艺术学院副教授吴映月，《中国美术教育》杂志副主编、博士崔卫，常州市美协副主席、国家一级美术师丁德源等19位专家为学校客座教授。强有力的优质专业指导团队业已形成。通过与高校教授师徒结对、专业进修等方式，艺术教育教师迅速成为学校骨干，2人完成硕士研修，1人研究生在读，5人在积极准备研究生考试。</w:t>
            </w:r>
          </w:p>
          <w:p>
            <w:pPr>
              <w:spacing w:line="360" w:lineRule="exact"/>
              <w:ind w:firstLine="413" w:firstLineChars="196"/>
              <w:rPr>
                <w:rFonts w:ascii="宋体" w:hAnsi="宋体"/>
                <w:szCs w:val="21"/>
              </w:rPr>
            </w:pPr>
            <w:r>
              <w:rPr>
                <w:rFonts w:hint="eastAsia" w:ascii="宋体" w:hAnsi="宋体"/>
                <w:b/>
                <w:szCs w:val="21"/>
              </w:rPr>
              <w:t>3．依托区域，发挥名师引领作用。</w:t>
            </w:r>
            <w:r>
              <w:rPr>
                <w:rFonts w:hint="eastAsia" w:ascii="宋体" w:hAnsi="宋体"/>
                <w:szCs w:val="21"/>
              </w:rPr>
              <w:t>近年来，常州、武进地区的艺术教育发展水平较高，学校积极利用区域优势资源。一方面，积极选派艺术教师参加市、区级各类培训来提高教师的业务能力，另一方面，鼓励教师踊跃参加区、市公开教学活动，获得展示的平台和学习交流机会。学校进一步挖掘区域优秀专业师资资源，2013年6月聘请了包括市、区艺术教研员、区域艺教优秀教师在内的13位资深教师，成为学校艺术教育专业引领教师，加强了学校艺术学科建设和区域学术交流，提升了学校艺术教学、科研和活动质量，有利于学校艺术教育特色的优化。通过多年努力，学校敬业善导、业务精湛的艺术教育优秀教师群体已经形成。凭借出色的专业团队，学校艺教特色办学之路愈走愈宽广，办学特色也愈来愈鲜明。</w:t>
            </w:r>
          </w:p>
          <w:p>
            <w:pPr>
              <w:spacing w:line="360" w:lineRule="exact"/>
              <w:ind w:firstLine="413" w:firstLineChars="196"/>
              <w:rPr>
                <w:rFonts w:ascii="宋体" w:hAnsi="宋体"/>
                <w:szCs w:val="21"/>
              </w:rPr>
            </w:pPr>
            <w:r>
              <w:rPr>
                <w:rFonts w:hint="eastAsia" w:ascii="宋体" w:hAnsi="宋体"/>
                <w:b/>
                <w:szCs w:val="21"/>
              </w:rPr>
              <w:t>（四）丰富活动，张扬创建特色亮点。</w:t>
            </w:r>
            <w:r>
              <w:rPr>
                <w:rFonts w:hint="eastAsia" w:ascii="宋体" w:hAnsi="宋体"/>
                <w:szCs w:val="21"/>
              </w:rPr>
              <w:t>活动是艺术教育特色创建的重要抓手。学校将艺术教育渗透到精彩纷呈的活动中。专门组建艺术团，制定了《洛阳高级中学艺术团章程》，根据学生兴趣爱好，组建各类艺术社团，学校现建立起卡通、竹笛、国画、素描、相声、漫画、摄影、装饰、流行歌曲、色彩、电脑美术、民族舞蹈、合唱等10余个常设的学生艺术社团；给学生创造表现机会：经常承担镇、区、市的各类演出和比赛任务，承办每年一届的常州市高中生“三独”比赛，每年一届的“艺术知识竞赛”，每年组织校园文化艺术节，每年以年级部为单位开展师生同场献艺活动，等等。学校创造性地在教职工大会上安排“赏名画、品名曲、读名帖、析名著、观名胜”系列活动，开阔教师眼界，提升艺术修养，营造了浓郁学校艺术氛围；学校每年组织学生赴安徽西递宏村等多地开展写生实践活动，拓展活动空间。</w:t>
            </w:r>
          </w:p>
          <w:p>
            <w:pPr>
              <w:spacing w:line="360" w:lineRule="exact"/>
              <w:ind w:firstLine="413" w:firstLineChars="196"/>
              <w:rPr>
                <w:rFonts w:ascii="宋体" w:hAnsi="宋体"/>
                <w:szCs w:val="21"/>
              </w:rPr>
            </w:pPr>
            <w:r>
              <w:rPr>
                <w:rFonts w:hint="eastAsia" w:ascii="宋体" w:hAnsi="宋体"/>
                <w:b/>
                <w:szCs w:val="21"/>
              </w:rPr>
              <w:t>（五）注重科研，增强创建发展动力。</w:t>
            </w:r>
            <w:r>
              <w:rPr>
                <w:rFonts w:hint="eastAsia" w:ascii="宋体" w:hAnsi="宋体"/>
                <w:szCs w:val="21"/>
              </w:rPr>
              <w:t>“发展特色，科研先导。”学校 “以科研深化特色创建”“以科研打造学校品牌”，开展了一系列与特色有关的科研课题研究。</w:t>
            </w:r>
          </w:p>
          <w:p>
            <w:pPr>
              <w:spacing w:line="360" w:lineRule="exact"/>
              <w:ind w:firstLine="411" w:firstLineChars="196"/>
              <w:rPr>
                <w:rFonts w:ascii="宋体" w:hAnsi="宋体"/>
                <w:szCs w:val="21"/>
              </w:rPr>
            </w:pPr>
            <w:r>
              <w:rPr>
                <w:rFonts w:hint="eastAsia" w:ascii="宋体" w:hAnsi="宋体"/>
                <w:szCs w:val="21"/>
              </w:rPr>
              <w:t>1．学校自创建音美特色班以来，为探讨特色班的课程设置和教学模式，开展武进市级课题《中学音美特色班的课程设置和教学模式的研究》（2001年结题）研究，通过三年的行动研究和实践探索，形成了一套符合学校实际的音美特色课程体系和课堂教学模式。为了进一步探讨美术教育的功效，学校实施武进市级课题《农村中小学美术教学中学生复合才能的培养的研究》（2002年结题）研究，以当时的横林片教育区为单位，带动了二所高中、四所初中和四所小学共同研究，促进了所在片区的美术课堂教学的全面提升，并着力宣扬学校艺术教育理念。为缩小中、小学美术课堂差异，学校开展常州市教科研规划项目课题《中小学美术衔接教学的研究》（2003年结题）研究，由武进市教研室全程参与共同管理，带动了武进全市四所高中、四所初中和四所小学共同研究，发起了武进市美术课堂教学改革行动，获得专家学者好评；该课题研究报告发表于《江苏美术教育》，研究成果《中小学美术衔接教学的理论形态与特征》获江苏省教育厅一等奖，国家教育部三等奖。伴随着网络工具和多媒体通讯的兴起，以及德育和艺术教育融合发展的迫切需求，学校艺术教师开展常州市青年教师专项招标课题《利用校园网络，构建家庭、社会、学校三结合新颖模式的研究》（2004年结题）研究，引导全校各科二十多位教师参与实践研究，课题获常州市教研优秀成果二等奖。</w:t>
            </w:r>
          </w:p>
          <w:p>
            <w:pPr>
              <w:spacing w:line="360" w:lineRule="exact"/>
              <w:ind w:firstLine="411" w:firstLineChars="196"/>
              <w:rPr>
                <w:rFonts w:ascii="宋体" w:hAnsi="宋体"/>
                <w:szCs w:val="21"/>
              </w:rPr>
            </w:pPr>
            <w:r>
              <w:rPr>
                <w:rFonts w:hint="eastAsia" w:ascii="宋体" w:hAnsi="宋体"/>
                <w:szCs w:val="21"/>
              </w:rPr>
              <w:t>2．结合常州市动漫产业的高速发展及中小学生对动漫的兴趣爱好，学校规划实施武进区级课题《区域性中小学卡通校本课程的开发和研究》（2009结题）研究，全区六所中小学参与研究，学校开发的《艺术与人生》获得江苏省校本教材评比三等奖，《卡通的欣赏与制作》获常州市校本案例评比二等奖，课题获武进区教研优秀成果一等奖。</w:t>
            </w:r>
          </w:p>
          <w:p>
            <w:pPr>
              <w:spacing w:line="360" w:lineRule="exact"/>
              <w:ind w:firstLine="411" w:firstLineChars="196"/>
              <w:rPr>
                <w:rFonts w:ascii="宋体" w:hAnsi="宋体"/>
                <w:szCs w:val="21"/>
              </w:rPr>
            </w:pPr>
            <w:r>
              <w:rPr>
                <w:rFonts w:hint="eastAsia" w:ascii="宋体" w:hAnsi="宋体"/>
                <w:szCs w:val="21"/>
              </w:rPr>
              <w:t>3．为进一步研究艺术教育对学生全面发展内在功效，学校成功申报全国教育规划课题《区域构建适切每个孩子发展的学校课程的行动研究》子课题《学校艺术教育培养和发展学生健全人格的研究》的研究（2013年结题），开始把艺术教育作为全体学生全面发展的一个基准点来贯彻，学校的艺术教育开始进入一个新的历程。</w:t>
            </w:r>
          </w:p>
          <w:p>
            <w:pPr>
              <w:spacing w:line="360" w:lineRule="exact"/>
              <w:ind w:firstLine="411" w:firstLineChars="196"/>
              <w:rPr>
                <w:rFonts w:ascii="宋体" w:hAnsi="宋体"/>
                <w:szCs w:val="21"/>
              </w:rPr>
            </w:pPr>
            <w:r>
              <w:rPr>
                <w:rFonts w:hint="eastAsia" w:ascii="宋体" w:hAnsi="宋体"/>
                <w:szCs w:val="21"/>
              </w:rPr>
              <w:t>4．2012年以来，为了让更多学生接受优质美术教育资源，扩大学校品牌发展影响力，学校开启了江苏省“十二五”教育科学规划课题《学校艺术教育三维课程开发的案例研究》、常州市级备案课题《利用学校艺术教育平台发展学生健全人格的实践研究》等两个艺术课题研究。课题扎实开展，现正准备结题。</w:t>
            </w:r>
          </w:p>
          <w:p>
            <w:pPr>
              <w:spacing w:line="360" w:lineRule="exact"/>
              <w:ind w:firstLine="413" w:firstLineChars="196"/>
              <w:rPr>
                <w:rFonts w:ascii="宋体" w:hAnsi="宋体"/>
                <w:szCs w:val="21"/>
              </w:rPr>
            </w:pPr>
            <w:r>
              <w:rPr>
                <w:rFonts w:hint="eastAsia" w:ascii="宋体" w:hAnsi="宋体"/>
                <w:b/>
                <w:szCs w:val="21"/>
              </w:rPr>
              <w:t>（六）开发课程，深化发展实施内涵。</w:t>
            </w:r>
            <w:r>
              <w:rPr>
                <w:rFonts w:hint="eastAsia" w:ascii="宋体" w:hAnsi="宋体"/>
                <w:szCs w:val="21"/>
              </w:rPr>
              <w:t>2005年实施新课程以来，学校一方面严格执行国家课程政策，认真落实各项国家课程和地方课程，同时以创建艺术教育特色为重点，充分利用本地本校教育资源，积极开发多种形式的艺术类校本课程。</w:t>
            </w:r>
            <w:r>
              <w:rPr>
                <w:rFonts w:hint="eastAsia" w:ascii="宋体" w:hAnsi="宋体"/>
                <w:bCs/>
                <w:szCs w:val="21"/>
              </w:rPr>
              <w:t>学校根据自身特色制定</w:t>
            </w:r>
            <w:r>
              <w:rPr>
                <w:rFonts w:hint="eastAsia" w:ascii="宋体" w:hAnsi="宋体" w:cs="宋体"/>
                <w:kern w:val="0"/>
                <w:szCs w:val="21"/>
              </w:rPr>
              <w:t>《洛阳高级中学构建艺术教育课程体系实施方案》，</w:t>
            </w:r>
            <w:r>
              <w:rPr>
                <w:rFonts w:hint="eastAsia" w:ascii="宋体" w:hAnsi="宋体"/>
                <w:szCs w:val="21"/>
              </w:rPr>
              <w:t>初步构建起与国家课程相匹配的、适合学生发展需求的、支撑艺术教育特色的校本课程体系，</w:t>
            </w:r>
            <w:r>
              <w:rPr>
                <w:rFonts w:hint="eastAsia" w:ascii="宋体" w:hAnsi="宋体"/>
                <w:bCs/>
                <w:szCs w:val="21"/>
              </w:rPr>
              <w:t>先后开发46门校本课程，编印了34本校本教材，形成了</w:t>
            </w:r>
            <w:r>
              <w:rPr>
                <w:rFonts w:hint="eastAsia" w:ascii="宋体" w:hAnsi="宋体"/>
                <w:szCs w:val="21"/>
              </w:rPr>
              <w:t>“艺术教育”11门校本课程的体系</w:t>
            </w:r>
            <w:r>
              <w:rPr>
                <w:rFonts w:hint="eastAsia" w:ascii="宋体" w:hAnsi="宋体"/>
                <w:bCs/>
                <w:szCs w:val="21"/>
              </w:rPr>
              <w:t>。</w:t>
            </w:r>
            <w:r>
              <w:rPr>
                <w:rFonts w:hint="eastAsia" w:ascii="宋体" w:hAnsi="宋体"/>
                <w:szCs w:val="21"/>
              </w:rPr>
              <w:t>开发实施了《生命成长之人生规划》《礼仪与生活》《卡通艺术（手绘）》《中外名曲欣赏》《卡通的欣赏与制作》</w:t>
            </w:r>
            <w:r>
              <w:rPr>
                <w:rFonts w:hint="eastAsia" w:ascii="宋体" w:hAnsi="宋体" w:cs="宋体"/>
                <w:kern w:val="0"/>
                <w:szCs w:val="21"/>
              </w:rPr>
              <w:t>等</w:t>
            </w:r>
            <w:r>
              <w:rPr>
                <w:rFonts w:hint="eastAsia" w:ascii="宋体" w:hAnsi="宋体"/>
                <w:szCs w:val="21"/>
              </w:rPr>
              <w:t>一批校本教材，并被兄弟学校采用，取得显著效果</w:t>
            </w:r>
            <w:r>
              <w:rPr>
                <w:rFonts w:hint="eastAsia" w:ascii="宋体" w:hAnsi="宋体" w:cs="宋体"/>
                <w:kern w:val="0"/>
                <w:szCs w:val="21"/>
              </w:rPr>
              <w:t>。</w:t>
            </w:r>
            <w:r>
              <w:rPr>
                <w:rFonts w:hint="eastAsia" w:ascii="宋体" w:hAnsi="宋体"/>
                <w:szCs w:val="21"/>
              </w:rPr>
              <w:t>沈纯芳校长主持开发的校本课程《艺术与人生》在“江苏省校本课程优秀成果评选”中荣获三等奖，作为优质教学资源在兄弟学校中广泛推广。学校以培养艺术特长为重点，组建了“素写淡然”等13个纳入课外活动序列的文化社团。</w:t>
            </w:r>
          </w:p>
          <w:p>
            <w:pPr>
              <w:spacing w:line="360" w:lineRule="exact"/>
              <w:ind w:firstLine="413" w:firstLineChars="196"/>
              <w:rPr>
                <w:rFonts w:ascii="宋体" w:hAnsi="宋体"/>
                <w:szCs w:val="21"/>
              </w:rPr>
            </w:pPr>
            <w:r>
              <w:rPr>
                <w:rFonts w:hint="eastAsia" w:ascii="宋体" w:hAnsi="宋体"/>
                <w:b/>
                <w:szCs w:val="21"/>
              </w:rPr>
              <w:t>（七）加大投入，营造发展浓郁氛围。</w:t>
            </w:r>
            <w:r>
              <w:rPr>
                <w:rFonts w:hint="eastAsia" w:ascii="宋体" w:hAnsi="宋体"/>
                <w:szCs w:val="21"/>
              </w:rPr>
              <w:t>为确保艺术特色教育的实施落实，学校投入大量资金，提升艺术教育保障水平。学校在投入1000多万新建7000多平米的艺术大楼的基础上，不断优化学生展演中心、形体房、琴房、多个音美专用教室、器材室等设施设备，按省I级标准配置教学，并创建美术图例室、数字美术媒体室、“艺行坊”等，为学生艺术教学和活动提供了场所和器材保证。围绕办学特色，学校充分发挥校园文化环境对学生的熏陶渐染作用，让学生在美好的客观环境中感受美、认识美、欣赏美、创造美。从学校布局、校舍建筑到道路交通、园林绿化，设计和布置均突出艺术之美；走进校园，校舍建筑简洁庄重，花草树木错落有致，学校通道、教室等立面布置以学生艺术作品为主，环境设计和布置力求体现本校特色，追求人与环境的和谐。</w:t>
            </w:r>
          </w:p>
          <w:p>
            <w:pPr>
              <w:spacing w:line="360" w:lineRule="exact"/>
              <w:ind w:firstLine="413" w:firstLineChars="196"/>
              <w:rPr>
                <w:rFonts w:ascii="宋体" w:hAnsi="宋体"/>
                <w:szCs w:val="21"/>
              </w:rPr>
            </w:pPr>
            <w:r>
              <w:rPr>
                <w:rFonts w:hint="eastAsia" w:ascii="宋体" w:hAnsi="宋体"/>
                <w:b/>
                <w:szCs w:val="21"/>
              </w:rPr>
              <w:t>（八）重视交流，拓展发展绩效影响。</w:t>
            </w:r>
            <w:r>
              <w:rPr>
                <w:rFonts w:hint="eastAsia" w:ascii="宋体" w:hAnsi="宋体"/>
                <w:szCs w:val="21"/>
              </w:rPr>
              <w:t>学校重视与兄弟学校的艺术特色交流合作。近年来，学校采用艺术教学公开课和课题研究等形式，与常武地区的金坛第四中学、金坛金沙中学、溧阳第三中学、省横林高级中学、武进区星辰实验学校、武进区李公朴小学和省内的扬州公道中学等10多所艺术特色学校建立了常态交流与合作关系；利用“模考评价交换”模式与常州市第五中学建立高三艺术教学常规交流合作模式；通过学校来访、外出考察和经验交流等形式与江苏省马坝高级中学、淮阴师范附中、浙江宁波鄞州高级中学、浙江杭州第七中学等省内外的知名艺术特色学校建立友好关系。并积极探索走国际合作的特色办学之路，通过江苏卓越日语专修学院与日本部分高校建立友好合作关系。</w:t>
            </w:r>
          </w:p>
          <w:p>
            <w:pPr>
              <w:spacing w:line="360" w:lineRule="exact"/>
              <w:ind w:firstLine="413" w:firstLineChars="196"/>
              <w:rPr>
                <w:rFonts w:ascii="宋体" w:hAnsi="宋体"/>
                <w:b/>
                <w:szCs w:val="21"/>
              </w:rPr>
            </w:pPr>
            <w:r>
              <w:rPr>
                <w:rFonts w:hint="eastAsia" w:ascii="宋体" w:hAnsi="宋体"/>
                <w:b/>
                <w:szCs w:val="21"/>
              </w:rPr>
              <w:t>五、艺术教育特色发展绩效</w:t>
            </w:r>
          </w:p>
          <w:p>
            <w:pPr>
              <w:spacing w:line="360" w:lineRule="exact"/>
              <w:ind w:firstLine="411" w:firstLineChars="196"/>
              <w:rPr>
                <w:rFonts w:ascii="宋体" w:hAnsi="宋体"/>
                <w:szCs w:val="21"/>
              </w:rPr>
            </w:pPr>
            <w:r>
              <w:rPr>
                <w:rFonts w:hint="eastAsia" w:ascii="宋体" w:hAnsi="宋体"/>
                <w:szCs w:val="21"/>
              </w:rPr>
              <w:t>学校历经“从无到有”“从有到优”“从优到强”的艺术教育特色创建历程，汇聚学校上下的智慧心血，收获了丰硕成果。</w:t>
            </w:r>
          </w:p>
          <w:p>
            <w:pPr>
              <w:spacing w:line="360" w:lineRule="exact"/>
              <w:ind w:firstLine="413" w:firstLineChars="196"/>
              <w:rPr>
                <w:rFonts w:ascii="宋体" w:hAnsi="宋体"/>
                <w:szCs w:val="21"/>
              </w:rPr>
            </w:pPr>
            <w:r>
              <w:rPr>
                <w:rFonts w:hint="eastAsia" w:ascii="宋体" w:hAnsi="宋体"/>
                <w:b/>
                <w:szCs w:val="21"/>
              </w:rPr>
              <w:t>（一）学生艺术素养不断提升。</w:t>
            </w:r>
            <w:r>
              <w:rPr>
                <w:rFonts w:hint="eastAsia" w:ascii="宋体" w:hAnsi="宋体"/>
                <w:szCs w:val="21"/>
              </w:rPr>
              <w:t>学校艺术教育坚持兼顾普及与提高、特色创建与学校发展的整体性目标，艺术教育提升了学生艺术修养，培育了学生艺术兴趣和特长，全校学生均掌握了1到2门艺术技艺，而且在多项活动中获奖。近3年来，学生在学科竞赛、征文比赛、艺术展演、绘画比赛等各类比赛中获奖多达</w:t>
            </w:r>
            <w:r>
              <w:rPr>
                <w:rFonts w:hint="eastAsia" w:ascii="宋体" w:hAnsi="宋体"/>
                <w:color w:val="252525"/>
                <w:szCs w:val="21"/>
              </w:rPr>
              <w:t>300人</w:t>
            </w:r>
            <w:r>
              <w:rPr>
                <w:rFonts w:hint="eastAsia" w:ascii="宋体" w:hAnsi="宋体"/>
                <w:szCs w:val="21"/>
              </w:rPr>
              <w:t>次，校美术类社团学生屡获全国大奖，校民乐队、合唱队走上省级艺术展演的舞台。</w:t>
            </w:r>
          </w:p>
          <w:p>
            <w:pPr>
              <w:spacing w:line="360" w:lineRule="exact"/>
              <w:ind w:firstLine="413" w:firstLineChars="196"/>
              <w:rPr>
                <w:rFonts w:ascii="宋体" w:hAnsi="宋体"/>
                <w:szCs w:val="21"/>
              </w:rPr>
            </w:pPr>
            <w:r>
              <w:rPr>
                <w:rFonts w:hint="eastAsia" w:ascii="宋体" w:hAnsi="宋体"/>
                <w:b/>
                <w:szCs w:val="21"/>
              </w:rPr>
              <w:t>（二）教师专业素质逐年发展。</w:t>
            </w:r>
            <w:r>
              <w:rPr>
                <w:rFonts w:hint="eastAsia" w:ascii="宋体" w:hAnsi="宋体"/>
                <w:szCs w:val="21"/>
              </w:rPr>
              <w:t>学校现有艺术专职教师12人，其中音乐4人，美术8人。艺术教师团队年富力强、朝气蓬勃，业务功底扎实，教学水平较高，并在辖市区具有一定的影响力和知名度。其中有省音乐家协会会员、区十佳歌手杨姗姗，声乐硕士、区十佳歌手谈菁、《中国美术教育》实践研究中心理事刘新茹，常州市骨干教师虞赛玉、武进区骨干教师吴燕、常州市教坛新秀张桔、刘超；学校音乐、美术教研组被评为常州市巾帼文明示范岗、常州市先进教研组。近三年，学校艺术青年教师多人次在区级以上教学基本功和评优课</w:t>
            </w:r>
            <w:r>
              <w:rPr>
                <w:rFonts w:hint="eastAsia" w:ascii="宋体" w:hAnsi="宋体"/>
                <w:vanish/>
                <w:szCs w:val="21"/>
              </w:rPr>
              <w:t>评优</w:t>
            </w:r>
            <w:r>
              <w:rPr>
                <w:rFonts w:hint="eastAsia" w:ascii="宋体" w:hAnsi="宋体"/>
                <w:szCs w:val="21"/>
              </w:rPr>
              <w:t>竞赛中获奖，吴燕在全国中小学美术课教学课件评比中获特等奖。</w:t>
            </w:r>
          </w:p>
          <w:p>
            <w:pPr>
              <w:spacing w:line="360" w:lineRule="exact"/>
              <w:ind w:firstLine="413" w:firstLineChars="196"/>
              <w:rPr>
                <w:rFonts w:ascii="宋体" w:hAnsi="宋体"/>
                <w:szCs w:val="21"/>
              </w:rPr>
            </w:pPr>
            <w:r>
              <w:rPr>
                <w:rFonts w:hint="eastAsia" w:ascii="宋体" w:hAnsi="宋体"/>
                <w:b/>
                <w:szCs w:val="21"/>
              </w:rPr>
              <w:t>（三）学校课程体系全面优化。</w:t>
            </w:r>
            <w:r>
              <w:rPr>
                <w:rFonts w:hint="eastAsia" w:ascii="宋体" w:hAnsi="宋体"/>
                <w:szCs w:val="21"/>
              </w:rPr>
              <w:t>在特色创建中，学校着力建立促进学生多元发展的课程体系。学校坚持开齐开足美术鉴赏、设计、书法等美术学科的9门模块课程。同时率先开发了与美术素养、地方戏曲、现代舞蹈等相关的11门艺术校本必修和选修课程，其中《艺术与人生》《卡通的欣赏与制作》被评为省、市级优秀校本教材。</w:t>
            </w:r>
          </w:p>
          <w:p>
            <w:pPr>
              <w:spacing w:line="360" w:lineRule="exact"/>
              <w:ind w:firstLine="413" w:firstLineChars="196"/>
              <w:rPr>
                <w:rFonts w:ascii="宋体" w:hAnsi="宋体"/>
                <w:color w:val="252525"/>
                <w:szCs w:val="21"/>
              </w:rPr>
            </w:pPr>
            <w:r>
              <w:rPr>
                <w:rFonts w:hint="eastAsia" w:ascii="宋体" w:hAnsi="宋体"/>
                <w:b/>
                <w:szCs w:val="21"/>
              </w:rPr>
              <w:t>（四）学校办学质量连年提升。</w:t>
            </w:r>
            <w:r>
              <w:rPr>
                <w:rFonts w:hint="eastAsia" w:ascii="宋体" w:hAnsi="宋体"/>
                <w:color w:val="252525"/>
                <w:szCs w:val="21"/>
              </w:rPr>
              <w:t>艺术教育特色办学的成功实践，提升了学校办学质量。上级领导多次表扬学校以三星级高中的生源办出了四星级高中的质量，</w:t>
            </w:r>
            <w:r>
              <w:rPr>
                <w:rFonts w:hint="eastAsia" w:ascii="宋体" w:hAnsi="宋体"/>
                <w:bCs/>
                <w:color w:val="252525"/>
                <w:szCs w:val="21"/>
              </w:rPr>
              <w:t>连续十一年获武进区全面实施素质教育工作一等奖。</w:t>
            </w:r>
            <w:r>
              <w:rPr>
                <w:rFonts w:hint="eastAsia" w:ascii="宋体" w:hAnsi="宋体"/>
                <w:color w:val="252525"/>
                <w:szCs w:val="21"/>
              </w:rPr>
              <w:t>尤其是艺术高考连年的成功，充分体现了学校艺术教育的成果。至2017年，学校先后录取到各类重点艺术高校的有300多人，其中有被誉为“艺术类清华、北大”的中国美术学院、中央美术学院，有南京艺术学院、上海戏剧学院、西安美院等知名大学，在常武地区学校位居第一。近三年来，学校艺术类高考本科录取人数稳步上升，艺术类本科录取率保持在93%以上。</w:t>
            </w:r>
          </w:p>
          <w:p>
            <w:pPr>
              <w:spacing w:line="360" w:lineRule="exact"/>
              <w:ind w:firstLine="422" w:firstLineChars="200"/>
              <w:rPr>
                <w:rFonts w:ascii="宋体" w:hAnsi="宋体"/>
                <w:szCs w:val="21"/>
              </w:rPr>
            </w:pPr>
            <w:r>
              <w:rPr>
                <w:rFonts w:hint="eastAsia" w:ascii="宋体" w:hAnsi="宋体"/>
                <w:b/>
                <w:szCs w:val="21"/>
              </w:rPr>
              <w:t>（五）学校特色品牌享誉常武。</w:t>
            </w:r>
            <w:r>
              <w:rPr>
                <w:rFonts w:hint="eastAsia" w:ascii="宋体" w:hAnsi="宋体"/>
                <w:szCs w:val="21"/>
              </w:rPr>
              <w:t>自</w:t>
            </w:r>
            <w:r>
              <w:rPr>
                <w:rFonts w:hint="eastAsia"/>
                <w:szCs w:val="21"/>
              </w:rPr>
              <w:t>1997年率先创办音美特色班，在20年的艺术教育实践探索中，学校遵循“以艺术教育特色为龙头，全面提升办学质量”的办学思路，逐步走出了一条普及与提高相结合，打造艺术教育品牌的特色发展之路，以艺术教育特色享誉常武地区，</w:t>
            </w:r>
            <w:r>
              <w:rPr>
                <w:rFonts w:hint="eastAsia" w:ascii="宋体" w:hAnsi="宋体"/>
                <w:szCs w:val="21"/>
              </w:rPr>
              <w:t>实现了学校办学声誉和品牌影响跨越发展。</w:t>
            </w:r>
          </w:p>
          <w:p>
            <w:pPr>
              <w:spacing w:line="360" w:lineRule="exact"/>
              <w:ind w:firstLine="420" w:firstLineChars="200"/>
              <w:rPr>
                <w:rFonts w:ascii="宋体" w:hAnsi="宋体"/>
                <w:szCs w:val="21"/>
              </w:rPr>
            </w:pPr>
            <w:r>
              <w:rPr>
                <w:rFonts w:hint="eastAsia" w:ascii="宋体" w:hAnsi="宋体"/>
                <w:szCs w:val="21"/>
              </w:rPr>
              <w:t>学校是江苏大学美术学院、扬大艺术学院、南师大美术学院的办学基地，是国内、省内众多高校的优质生源基地，与中央音乐学院联合开办了“吴伯超音乐班”，这是中央音乐学院与中学系统唯一联办的校外班。近年来，学校完成了包括“十二五”国家规划课题在内的多个艺术教育课题的研究任务，相继成为“《中国美术教育》数字美术教育研究中心实验基地”“江苏省教育学会美术专业委员会科研基地</w:t>
            </w:r>
            <w:r>
              <w:rPr>
                <w:rFonts w:ascii="宋体" w:hAnsi="宋体"/>
                <w:szCs w:val="21"/>
              </w:rPr>
              <w:t>”</w:t>
            </w:r>
            <w:r>
              <w:rPr>
                <w:rFonts w:hint="eastAsia" w:ascii="宋体" w:hAnsi="宋体"/>
                <w:szCs w:val="21"/>
              </w:rPr>
              <w:t>、全国“动漫教育实验学校”等；2015年，学校成为中国美术学院优质生源基地。学校多次承办不同级别的艺术教育研讨会，成为我区名副其实的艺术特长生培养基地，对我区中小学艺术教育的改革发展起到了重要的示范作用和辐射作用。</w:t>
            </w:r>
          </w:p>
          <w:p>
            <w:pPr>
              <w:spacing w:line="360" w:lineRule="exact"/>
              <w:ind w:firstLine="413" w:firstLineChars="196"/>
              <w:rPr>
                <w:rFonts w:ascii="宋体" w:hAnsi="宋体"/>
                <w:b/>
                <w:szCs w:val="21"/>
              </w:rPr>
            </w:pPr>
            <w:r>
              <w:rPr>
                <w:rFonts w:hint="eastAsia" w:ascii="宋体" w:hAnsi="宋体"/>
                <w:b/>
                <w:szCs w:val="21"/>
              </w:rPr>
              <w:t>六、艺术教育特色发展愿景</w:t>
            </w:r>
          </w:p>
          <w:p>
            <w:pPr>
              <w:spacing w:line="360" w:lineRule="exact"/>
              <w:ind w:firstLine="420" w:firstLineChars="200"/>
              <w:rPr>
                <w:rFonts w:ascii="宋体" w:hAnsi="宋体"/>
                <w:szCs w:val="21"/>
              </w:rPr>
            </w:pPr>
            <w:r>
              <w:rPr>
                <w:rFonts w:hint="eastAsia" w:ascii="宋体" w:hAnsi="宋体"/>
                <w:szCs w:val="21"/>
              </w:rPr>
              <w:t xml:space="preserve">“特色兴校”“特色强校”“特色名校”，特色建设是增强学校核心竞争力的重要途径，是学校主动发展的必由之路。学校多年探索形成的学校艺术课程、艺术师资、艺术活动、艺术科研、艺术高考等特色教育的最大亮点，“江苏省艺术教育特色学校”“全国百强特色学校”等综合荣誉，属于过去，是对我们的激励和鞭策。学校将继续坚持主动发展，内涵发展，特色发展，优质发展，在学校艺术文化建设、艺术课程、课程资源和活动基地建设、艺术教育网络平台建设、名优艺教教师群体建设、区域和国际合作办学、区域初高中学段打通、衔接前提下的特长生推荐、艺术生培养模式、部分高校特长生免试推荐制度等方面作进一步的探索，全力实施学校特色发展战略，积极引导学校走个性化、特色化的内涵发展之路，进一步拓宽学生多元化发展之路，进一步提升教育品位，亮化特色品牌，努力把学校建成为有文化、有活力、高品质、高品位的现代化普通高中艺术特色学校。 </w:t>
            </w:r>
          </w:p>
          <w:p>
            <w:pPr>
              <w:spacing w:line="360" w:lineRule="exact"/>
              <w:ind w:firstLine="420" w:firstLineChars="200"/>
              <w:rPr>
                <w:rFonts w:ascii="宋体" w:hAnsi="宋体"/>
                <w:szCs w:val="21"/>
              </w:rPr>
            </w:pPr>
          </w:p>
          <w:p>
            <w:pPr>
              <w:spacing w:line="360" w:lineRule="exact"/>
              <w:ind w:firstLine="420" w:firstLineChars="200"/>
              <w:rPr>
                <w:rFonts w:ascii="宋体" w:hAnsi="宋体"/>
                <w:szCs w:val="21"/>
              </w:rPr>
            </w:pPr>
            <w:r>
              <w:rPr>
                <w:rFonts w:hint="eastAsia" w:ascii="宋体" w:hAnsi="宋体"/>
                <w:szCs w:val="21"/>
              </w:rPr>
              <w:t>特色就是品牌，品牌拓展资源。我们坚信，笃行特色办学之路，必将实现学校更高平台上的崭新跨越！</w:t>
            </w:r>
          </w:p>
          <w:p>
            <w:pPr>
              <w:spacing w:line="360" w:lineRule="exact"/>
              <w:ind w:firstLine="7080" w:firstLineChars="2950"/>
              <w:rPr>
                <w:rFonts w:ascii="宋体" w:hAnsi="宋体"/>
                <w:sz w:val="24"/>
              </w:rPr>
            </w:pPr>
          </w:p>
          <w:p>
            <w:pPr>
              <w:spacing w:line="360" w:lineRule="exact"/>
              <w:ind w:firstLine="7080" w:firstLineChars="2950"/>
              <w:rPr>
                <w:sz w:val="24"/>
              </w:rPr>
            </w:pPr>
          </w:p>
          <w:p>
            <w:pPr>
              <w:ind w:firstLine="735" w:firstLineChars="350"/>
              <w:rPr>
                <w:rFonts w:ascii="宋体"/>
              </w:rPr>
            </w:pPr>
          </w:p>
        </w:tc>
      </w:tr>
    </w:tbl>
    <w:p>
      <w:pPr>
        <w:tabs>
          <w:tab w:val="left" w:pos="0"/>
        </w:tabs>
        <w:spacing w:line="560" w:lineRule="exact"/>
        <w:ind w:right="560"/>
        <w:rPr>
          <w:rFonts w:ascii="宋体"/>
          <w:szCs w:val="21"/>
        </w:rPr>
      </w:pPr>
    </w:p>
    <w:sectPr>
      <w:headerReference r:id="rId3" w:type="default"/>
      <w:footerReference r:id="rId4" w:type="default"/>
      <w:footerReference r:id="rId5" w:type="even"/>
      <w:pgSz w:w="11907" w:h="16840"/>
      <w:pgMar w:top="1701" w:right="1474" w:bottom="1474" w:left="1531" w:header="851" w:footer="851"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2"/>
      </w:rPr>
    </w:pPr>
    <w:r>
      <w:fldChar w:fldCharType="begin"/>
    </w:r>
    <w:r>
      <w:rPr>
        <w:rStyle w:val="12"/>
      </w:rPr>
      <w:instrText xml:space="preserve">PAGE  </w:instrText>
    </w:r>
    <w:r>
      <w:fldChar w:fldCharType="separate"/>
    </w:r>
    <w:r>
      <w:rPr>
        <w:rStyle w:val="12"/>
      </w:rPr>
      <w:t>90</w:t>
    </w:r>
    <w: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2"/>
      </w:rPr>
    </w:pPr>
    <w:r>
      <w:fldChar w:fldCharType="begin"/>
    </w:r>
    <w:r>
      <w:rPr>
        <w:rStyle w:val="12"/>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54195"/>
    <w:multiLevelType w:val="singleLevel"/>
    <w:tmpl w:val="59F54195"/>
    <w:lvl w:ilvl="0" w:tentative="0">
      <w:start w:val="2"/>
      <w:numFmt w:val="chineseCounting"/>
      <w:suff w:val="nothing"/>
      <w:lvlText w:val="%1、"/>
      <w:lvlJc w:val="left"/>
    </w:lvl>
  </w:abstractNum>
  <w:abstractNum w:abstractNumId="1">
    <w:nsid w:val="59F54AEC"/>
    <w:multiLevelType w:val="singleLevel"/>
    <w:tmpl w:val="59F54AEC"/>
    <w:lvl w:ilvl="0" w:tentative="0">
      <w:start w:val="3"/>
      <w:numFmt w:val="chineseCounting"/>
      <w:suff w:val="nothing"/>
      <w:lvlText w:val="%1．"/>
      <w:lvlJc w:val="left"/>
    </w:lvl>
  </w:abstractNum>
  <w:abstractNum w:abstractNumId="2">
    <w:nsid w:val="59F55030"/>
    <w:multiLevelType w:val="singleLevel"/>
    <w:tmpl w:val="59F5503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ocumentProtection w:enforcement="0"/>
  <w:defaultTabStop w:val="424"/>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4D184F"/>
    <w:rsid w:val="00004548"/>
    <w:rsid w:val="00007BD1"/>
    <w:rsid w:val="0001498E"/>
    <w:rsid w:val="00015B54"/>
    <w:rsid w:val="00017B01"/>
    <w:rsid w:val="000278FB"/>
    <w:rsid w:val="000333CB"/>
    <w:rsid w:val="00057EF1"/>
    <w:rsid w:val="00065864"/>
    <w:rsid w:val="000674CF"/>
    <w:rsid w:val="00071E81"/>
    <w:rsid w:val="00080DF7"/>
    <w:rsid w:val="0008575B"/>
    <w:rsid w:val="000863A4"/>
    <w:rsid w:val="00087DEC"/>
    <w:rsid w:val="0009371B"/>
    <w:rsid w:val="000A4912"/>
    <w:rsid w:val="000B3565"/>
    <w:rsid w:val="000B410B"/>
    <w:rsid w:val="000C2CBE"/>
    <w:rsid w:val="000C4465"/>
    <w:rsid w:val="000C5146"/>
    <w:rsid w:val="000D4ED1"/>
    <w:rsid w:val="000D65EA"/>
    <w:rsid w:val="000E449C"/>
    <w:rsid w:val="000F0A9F"/>
    <w:rsid w:val="000F5736"/>
    <w:rsid w:val="000F5EC1"/>
    <w:rsid w:val="00102C48"/>
    <w:rsid w:val="0011079E"/>
    <w:rsid w:val="00110C31"/>
    <w:rsid w:val="00110CA9"/>
    <w:rsid w:val="00115C47"/>
    <w:rsid w:val="001166B8"/>
    <w:rsid w:val="00120812"/>
    <w:rsid w:val="0012189C"/>
    <w:rsid w:val="00127602"/>
    <w:rsid w:val="00133526"/>
    <w:rsid w:val="00134FD7"/>
    <w:rsid w:val="00140B4F"/>
    <w:rsid w:val="001434FE"/>
    <w:rsid w:val="001453DD"/>
    <w:rsid w:val="00146A71"/>
    <w:rsid w:val="001501A9"/>
    <w:rsid w:val="00172F8E"/>
    <w:rsid w:val="0018088E"/>
    <w:rsid w:val="00182DA6"/>
    <w:rsid w:val="00185034"/>
    <w:rsid w:val="00185754"/>
    <w:rsid w:val="0019780A"/>
    <w:rsid w:val="001A49EE"/>
    <w:rsid w:val="001B0200"/>
    <w:rsid w:val="001B34F9"/>
    <w:rsid w:val="001C12A0"/>
    <w:rsid w:val="001C49AD"/>
    <w:rsid w:val="001D14E0"/>
    <w:rsid w:val="001D6BDB"/>
    <w:rsid w:val="001E0882"/>
    <w:rsid w:val="001E219E"/>
    <w:rsid w:val="001E593F"/>
    <w:rsid w:val="001E681C"/>
    <w:rsid w:val="001F7E31"/>
    <w:rsid w:val="002024C9"/>
    <w:rsid w:val="0020357F"/>
    <w:rsid w:val="002121C4"/>
    <w:rsid w:val="00212DD8"/>
    <w:rsid w:val="0022150E"/>
    <w:rsid w:val="00222747"/>
    <w:rsid w:val="00224028"/>
    <w:rsid w:val="002242DE"/>
    <w:rsid w:val="0023025A"/>
    <w:rsid w:val="002311AA"/>
    <w:rsid w:val="002311CE"/>
    <w:rsid w:val="002341DD"/>
    <w:rsid w:val="002360E4"/>
    <w:rsid w:val="002427BA"/>
    <w:rsid w:val="00244C78"/>
    <w:rsid w:val="0024624A"/>
    <w:rsid w:val="00256AA8"/>
    <w:rsid w:val="00257921"/>
    <w:rsid w:val="002619FA"/>
    <w:rsid w:val="00267214"/>
    <w:rsid w:val="002735AC"/>
    <w:rsid w:val="00273D45"/>
    <w:rsid w:val="002835C7"/>
    <w:rsid w:val="00292C42"/>
    <w:rsid w:val="00292CDE"/>
    <w:rsid w:val="002A5BFE"/>
    <w:rsid w:val="002A6F51"/>
    <w:rsid w:val="002B1A58"/>
    <w:rsid w:val="002B41E3"/>
    <w:rsid w:val="002C457C"/>
    <w:rsid w:val="002C63F1"/>
    <w:rsid w:val="002D2460"/>
    <w:rsid w:val="002D49F9"/>
    <w:rsid w:val="002D5092"/>
    <w:rsid w:val="002E4089"/>
    <w:rsid w:val="002E58E4"/>
    <w:rsid w:val="002F06FE"/>
    <w:rsid w:val="002F0C16"/>
    <w:rsid w:val="002F3D1B"/>
    <w:rsid w:val="00307344"/>
    <w:rsid w:val="0031507D"/>
    <w:rsid w:val="003162DD"/>
    <w:rsid w:val="00324AB9"/>
    <w:rsid w:val="00336FD8"/>
    <w:rsid w:val="0034007E"/>
    <w:rsid w:val="003401DC"/>
    <w:rsid w:val="00344430"/>
    <w:rsid w:val="003463FF"/>
    <w:rsid w:val="003467BC"/>
    <w:rsid w:val="00346B4A"/>
    <w:rsid w:val="00357511"/>
    <w:rsid w:val="00362866"/>
    <w:rsid w:val="00372247"/>
    <w:rsid w:val="00373B7F"/>
    <w:rsid w:val="00376DAB"/>
    <w:rsid w:val="00377674"/>
    <w:rsid w:val="003860A1"/>
    <w:rsid w:val="00391373"/>
    <w:rsid w:val="00394C17"/>
    <w:rsid w:val="003962D6"/>
    <w:rsid w:val="003A3E31"/>
    <w:rsid w:val="003B5A4A"/>
    <w:rsid w:val="003C002F"/>
    <w:rsid w:val="003C41BB"/>
    <w:rsid w:val="003C4B63"/>
    <w:rsid w:val="003D1B6D"/>
    <w:rsid w:val="003E4866"/>
    <w:rsid w:val="003E697F"/>
    <w:rsid w:val="003E6C72"/>
    <w:rsid w:val="003F0461"/>
    <w:rsid w:val="003F1C97"/>
    <w:rsid w:val="003F5954"/>
    <w:rsid w:val="004065CB"/>
    <w:rsid w:val="0041468E"/>
    <w:rsid w:val="004171E9"/>
    <w:rsid w:val="00421FCE"/>
    <w:rsid w:val="0042763F"/>
    <w:rsid w:val="0043528D"/>
    <w:rsid w:val="00436D64"/>
    <w:rsid w:val="00442351"/>
    <w:rsid w:val="00443C05"/>
    <w:rsid w:val="0045054D"/>
    <w:rsid w:val="004531B7"/>
    <w:rsid w:val="00462344"/>
    <w:rsid w:val="0047443A"/>
    <w:rsid w:val="004800BC"/>
    <w:rsid w:val="004801D6"/>
    <w:rsid w:val="0048595A"/>
    <w:rsid w:val="00486002"/>
    <w:rsid w:val="00493D1C"/>
    <w:rsid w:val="0049468A"/>
    <w:rsid w:val="00494914"/>
    <w:rsid w:val="004A58E7"/>
    <w:rsid w:val="004B1AFC"/>
    <w:rsid w:val="004B41D9"/>
    <w:rsid w:val="004C1E4F"/>
    <w:rsid w:val="004C53A4"/>
    <w:rsid w:val="004D1222"/>
    <w:rsid w:val="004D184F"/>
    <w:rsid w:val="004D599C"/>
    <w:rsid w:val="004D5C6D"/>
    <w:rsid w:val="004E1082"/>
    <w:rsid w:val="004E758C"/>
    <w:rsid w:val="004F2D3E"/>
    <w:rsid w:val="00500554"/>
    <w:rsid w:val="00503861"/>
    <w:rsid w:val="00503BBD"/>
    <w:rsid w:val="005143AE"/>
    <w:rsid w:val="005170DB"/>
    <w:rsid w:val="00522CAC"/>
    <w:rsid w:val="00527C74"/>
    <w:rsid w:val="0053168B"/>
    <w:rsid w:val="005334A6"/>
    <w:rsid w:val="0053514C"/>
    <w:rsid w:val="00542283"/>
    <w:rsid w:val="00543796"/>
    <w:rsid w:val="00555401"/>
    <w:rsid w:val="00556B8B"/>
    <w:rsid w:val="00566ED7"/>
    <w:rsid w:val="005704E8"/>
    <w:rsid w:val="00571170"/>
    <w:rsid w:val="00571F27"/>
    <w:rsid w:val="005777B7"/>
    <w:rsid w:val="00591ED7"/>
    <w:rsid w:val="00596464"/>
    <w:rsid w:val="00596E4E"/>
    <w:rsid w:val="005A08A2"/>
    <w:rsid w:val="005A45C6"/>
    <w:rsid w:val="005A4BE7"/>
    <w:rsid w:val="005C3276"/>
    <w:rsid w:val="005C5E8D"/>
    <w:rsid w:val="005D464E"/>
    <w:rsid w:val="005D524E"/>
    <w:rsid w:val="005D779F"/>
    <w:rsid w:val="005E0079"/>
    <w:rsid w:val="005E1168"/>
    <w:rsid w:val="005E1A86"/>
    <w:rsid w:val="005E790E"/>
    <w:rsid w:val="005F7BD1"/>
    <w:rsid w:val="00611EFD"/>
    <w:rsid w:val="00612120"/>
    <w:rsid w:val="00613051"/>
    <w:rsid w:val="00613C36"/>
    <w:rsid w:val="006162E2"/>
    <w:rsid w:val="00623224"/>
    <w:rsid w:val="00624F7B"/>
    <w:rsid w:val="006250BB"/>
    <w:rsid w:val="00634124"/>
    <w:rsid w:val="00634613"/>
    <w:rsid w:val="006346C9"/>
    <w:rsid w:val="00635D5C"/>
    <w:rsid w:val="00640E0E"/>
    <w:rsid w:val="00642AEC"/>
    <w:rsid w:val="00652497"/>
    <w:rsid w:val="006554E0"/>
    <w:rsid w:val="006619D4"/>
    <w:rsid w:val="006621F4"/>
    <w:rsid w:val="00665603"/>
    <w:rsid w:val="006735EB"/>
    <w:rsid w:val="0067375E"/>
    <w:rsid w:val="00675C7F"/>
    <w:rsid w:val="00682999"/>
    <w:rsid w:val="00697508"/>
    <w:rsid w:val="006A67BE"/>
    <w:rsid w:val="006B2346"/>
    <w:rsid w:val="006B49CD"/>
    <w:rsid w:val="006B7B81"/>
    <w:rsid w:val="006C11A3"/>
    <w:rsid w:val="006D193E"/>
    <w:rsid w:val="006D4E86"/>
    <w:rsid w:val="006E0D2A"/>
    <w:rsid w:val="006E3EE1"/>
    <w:rsid w:val="006E6E3C"/>
    <w:rsid w:val="006F35C2"/>
    <w:rsid w:val="006F4028"/>
    <w:rsid w:val="00702049"/>
    <w:rsid w:val="007204E7"/>
    <w:rsid w:val="007275C2"/>
    <w:rsid w:val="00732EB9"/>
    <w:rsid w:val="00741E9F"/>
    <w:rsid w:val="007423E6"/>
    <w:rsid w:val="0074533F"/>
    <w:rsid w:val="007468E0"/>
    <w:rsid w:val="0075488C"/>
    <w:rsid w:val="0075578E"/>
    <w:rsid w:val="00755846"/>
    <w:rsid w:val="00762D00"/>
    <w:rsid w:val="00763FBF"/>
    <w:rsid w:val="00766365"/>
    <w:rsid w:val="00774E53"/>
    <w:rsid w:val="00781A25"/>
    <w:rsid w:val="00782FFC"/>
    <w:rsid w:val="0079218F"/>
    <w:rsid w:val="007939F0"/>
    <w:rsid w:val="00795420"/>
    <w:rsid w:val="00795735"/>
    <w:rsid w:val="007A1323"/>
    <w:rsid w:val="007A646B"/>
    <w:rsid w:val="007B2543"/>
    <w:rsid w:val="007C070C"/>
    <w:rsid w:val="007D4176"/>
    <w:rsid w:val="007F71B4"/>
    <w:rsid w:val="008037CC"/>
    <w:rsid w:val="00805DED"/>
    <w:rsid w:val="00807236"/>
    <w:rsid w:val="00811C43"/>
    <w:rsid w:val="00811DC2"/>
    <w:rsid w:val="00814F49"/>
    <w:rsid w:val="00820227"/>
    <w:rsid w:val="008365FC"/>
    <w:rsid w:val="008450BF"/>
    <w:rsid w:val="00846112"/>
    <w:rsid w:val="008502B9"/>
    <w:rsid w:val="00852940"/>
    <w:rsid w:val="00853498"/>
    <w:rsid w:val="00857232"/>
    <w:rsid w:val="00857BA3"/>
    <w:rsid w:val="00871745"/>
    <w:rsid w:val="00875290"/>
    <w:rsid w:val="00881ED5"/>
    <w:rsid w:val="00886909"/>
    <w:rsid w:val="008919E1"/>
    <w:rsid w:val="0089234C"/>
    <w:rsid w:val="00892572"/>
    <w:rsid w:val="008A6588"/>
    <w:rsid w:val="008A66FB"/>
    <w:rsid w:val="008A7C7F"/>
    <w:rsid w:val="008B52B4"/>
    <w:rsid w:val="008B54AC"/>
    <w:rsid w:val="008C01F5"/>
    <w:rsid w:val="008C549C"/>
    <w:rsid w:val="008C7BD0"/>
    <w:rsid w:val="008D693E"/>
    <w:rsid w:val="008D6E33"/>
    <w:rsid w:val="008E5561"/>
    <w:rsid w:val="008F026D"/>
    <w:rsid w:val="008F090F"/>
    <w:rsid w:val="008F2E35"/>
    <w:rsid w:val="008F3649"/>
    <w:rsid w:val="008F3A07"/>
    <w:rsid w:val="008F621D"/>
    <w:rsid w:val="008F7671"/>
    <w:rsid w:val="00900377"/>
    <w:rsid w:val="00902461"/>
    <w:rsid w:val="0090275C"/>
    <w:rsid w:val="00910965"/>
    <w:rsid w:val="00911A4E"/>
    <w:rsid w:val="0093531E"/>
    <w:rsid w:val="00935E4D"/>
    <w:rsid w:val="009423F8"/>
    <w:rsid w:val="009444F6"/>
    <w:rsid w:val="009514C0"/>
    <w:rsid w:val="00952551"/>
    <w:rsid w:val="00953CEF"/>
    <w:rsid w:val="009658F8"/>
    <w:rsid w:val="00966630"/>
    <w:rsid w:val="00966886"/>
    <w:rsid w:val="00975605"/>
    <w:rsid w:val="0097682E"/>
    <w:rsid w:val="00976E72"/>
    <w:rsid w:val="00980AB0"/>
    <w:rsid w:val="00987029"/>
    <w:rsid w:val="0099272E"/>
    <w:rsid w:val="0099737B"/>
    <w:rsid w:val="009A0D32"/>
    <w:rsid w:val="009A7EC8"/>
    <w:rsid w:val="009B0A82"/>
    <w:rsid w:val="009D2C3B"/>
    <w:rsid w:val="009D718D"/>
    <w:rsid w:val="009E0F5E"/>
    <w:rsid w:val="009F1AB2"/>
    <w:rsid w:val="009F677F"/>
    <w:rsid w:val="009F79ED"/>
    <w:rsid w:val="00A12207"/>
    <w:rsid w:val="00A13287"/>
    <w:rsid w:val="00A14621"/>
    <w:rsid w:val="00A16CC1"/>
    <w:rsid w:val="00A176C5"/>
    <w:rsid w:val="00A22AAC"/>
    <w:rsid w:val="00A241C6"/>
    <w:rsid w:val="00A25A09"/>
    <w:rsid w:val="00A30171"/>
    <w:rsid w:val="00A3245E"/>
    <w:rsid w:val="00A363C1"/>
    <w:rsid w:val="00A36896"/>
    <w:rsid w:val="00A37851"/>
    <w:rsid w:val="00A41157"/>
    <w:rsid w:val="00A43A64"/>
    <w:rsid w:val="00A52F8D"/>
    <w:rsid w:val="00A53A81"/>
    <w:rsid w:val="00A6103A"/>
    <w:rsid w:val="00A65BD9"/>
    <w:rsid w:val="00A66C4C"/>
    <w:rsid w:val="00A74676"/>
    <w:rsid w:val="00A80D99"/>
    <w:rsid w:val="00A8183D"/>
    <w:rsid w:val="00A84C76"/>
    <w:rsid w:val="00A87106"/>
    <w:rsid w:val="00A96CAC"/>
    <w:rsid w:val="00A9708F"/>
    <w:rsid w:val="00AB5917"/>
    <w:rsid w:val="00AC5CA2"/>
    <w:rsid w:val="00AC64C3"/>
    <w:rsid w:val="00AD0AF1"/>
    <w:rsid w:val="00AD2674"/>
    <w:rsid w:val="00AD2C99"/>
    <w:rsid w:val="00AD3A5A"/>
    <w:rsid w:val="00AD4BDA"/>
    <w:rsid w:val="00AE0FE3"/>
    <w:rsid w:val="00AE2684"/>
    <w:rsid w:val="00AE3291"/>
    <w:rsid w:val="00AE3A8F"/>
    <w:rsid w:val="00AE45D0"/>
    <w:rsid w:val="00AF66C9"/>
    <w:rsid w:val="00B04048"/>
    <w:rsid w:val="00B079DD"/>
    <w:rsid w:val="00B11FD9"/>
    <w:rsid w:val="00B230CD"/>
    <w:rsid w:val="00B239B9"/>
    <w:rsid w:val="00B24C9B"/>
    <w:rsid w:val="00B441A4"/>
    <w:rsid w:val="00B461CB"/>
    <w:rsid w:val="00B60342"/>
    <w:rsid w:val="00B6096F"/>
    <w:rsid w:val="00B61924"/>
    <w:rsid w:val="00B65E16"/>
    <w:rsid w:val="00B73E4E"/>
    <w:rsid w:val="00B74AAB"/>
    <w:rsid w:val="00B768BA"/>
    <w:rsid w:val="00B8249A"/>
    <w:rsid w:val="00B83F42"/>
    <w:rsid w:val="00B852A2"/>
    <w:rsid w:val="00B909FF"/>
    <w:rsid w:val="00B92EAA"/>
    <w:rsid w:val="00B96317"/>
    <w:rsid w:val="00BA3531"/>
    <w:rsid w:val="00BA403B"/>
    <w:rsid w:val="00BA4046"/>
    <w:rsid w:val="00BA6036"/>
    <w:rsid w:val="00BC2377"/>
    <w:rsid w:val="00BD16F3"/>
    <w:rsid w:val="00BD1D4D"/>
    <w:rsid w:val="00BD2DBC"/>
    <w:rsid w:val="00BD7821"/>
    <w:rsid w:val="00BE478E"/>
    <w:rsid w:val="00BF0C8A"/>
    <w:rsid w:val="00BF5C9C"/>
    <w:rsid w:val="00C01FEF"/>
    <w:rsid w:val="00C11C28"/>
    <w:rsid w:val="00C2649C"/>
    <w:rsid w:val="00C35D14"/>
    <w:rsid w:val="00C35DEC"/>
    <w:rsid w:val="00C37415"/>
    <w:rsid w:val="00C54900"/>
    <w:rsid w:val="00C60B8D"/>
    <w:rsid w:val="00C7178F"/>
    <w:rsid w:val="00C71B29"/>
    <w:rsid w:val="00C75C4D"/>
    <w:rsid w:val="00C802E4"/>
    <w:rsid w:val="00C834CE"/>
    <w:rsid w:val="00C86D09"/>
    <w:rsid w:val="00C92FAE"/>
    <w:rsid w:val="00CA04AD"/>
    <w:rsid w:val="00CA45B3"/>
    <w:rsid w:val="00CA477D"/>
    <w:rsid w:val="00CA4869"/>
    <w:rsid w:val="00CA5BD1"/>
    <w:rsid w:val="00CB13BD"/>
    <w:rsid w:val="00CB78F2"/>
    <w:rsid w:val="00CC7026"/>
    <w:rsid w:val="00CD324F"/>
    <w:rsid w:val="00CF093E"/>
    <w:rsid w:val="00CF430D"/>
    <w:rsid w:val="00CF55D4"/>
    <w:rsid w:val="00CF7E01"/>
    <w:rsid w:val="00CF7ED1"/>
    <w:rsid w:val="00D11368"/>
    <w:rsid w:val="00D43F49"/>
    <w:rsid w:val="00D44EC1"/>
    <w:rsid w:val="00D4702C"/>
    <w:rsid w:val="00D477A6"/>
    <w:rsid w:val="00D508B7"/>
    <w:rsid w:val="00D57031"/>
    <w:rsid w:val="00D62254"/>
    <w:rsid w:val="00D6655F"/>
    <w:rsid w:val="00D667C7"/>
    <w:rsid w:val="00D70641"/>
    <w:rsid w:val="00D80F2E"/>
    <w:rsid w:val="00D818E0"/>
    <w:rsid w:val="00D85A1C"/>
    <w:rsid w:val="00D90539"/>
    <w:rsid w:val="00D92217"/>
    <w:rsid w:val="00D92F0E"/>
    <w:rsid w:val="00D9576D"/>
    <w:rsid w:val="00DA1CC3"/>
    <w:rsid w:val="00DB03E2"/>
    <w:rsid w:val="00DB1F3E"/>
    <w:rsid w:val="00DB72CA"/>
    <w:rsid w:val="00DB7F10"/>
    <w:rsid w:val="00DC5833"/>
    <w:rsid w:val="00DC5C67"/>
    <w:rsid w:val="00DD172A"/>
    <w:rsid w:val="00DD3A68"/>
    <w:rsid w:val="00DD70B5"/>
    <w:rsid w:val="00DE4C2D"/>
    <w:rsid w:val="00DE662E"/>
    <w:rsid w:val="00DE67DF"/>
    <w:rsid w:val="00DF0BE3"/>
    <w:rsid w:val="00DF1ACC"/>
    <w:rsid w:val="00DF54CD"/>
    <w:rsid w:val="00E0297E"/>
    <w:rsid w:val="00E306D6"/>
    <w:rsid w:val="00E314BA"/>
    <w:rsid w:val="00E323F3"/>
    <w:rsid w:val="00E36786"/>
    <w:rsid w:val="00E43EBB"/>
    <w:rsid w:val="00E516E0"/>
    <w:rsid w:val="00E531EC"/>
    <w:rsid w:val="00E57983"/>
    <w:rsid w:val="00E601D9"/>
    <w:rsid w:val="00E64B29"/>
    <w:rsid w:val="00E65F2E"/>
    <w:rsid w:val="00E70FF9"/>
    <w:rsid w:val="00E71C5F"/>
    <w:rsid w:val="00E76CB1"/>
    <w:rsid w:val="00E76DD4"/>
    <w:rsid w:val="00E80C7E"/>
    <w:rsid w:val="00E83168"/>
    <w:rsid w:val="00E94866"/>
    <w:rsid w:val="00E95E9B"/>
    <w:rsid w:val="00EA3051"/>
    <w:rsid w:val="00EA53AC"/>
    <w:rsid w:val="00EC003D"/>
    <w:rsid w:val="00EC1F46"/>
    <w:rsid w:val="00EC3080"/>
    <w:rsid w:val="00EC5BAD"/>
    <w:rsid w:val="00EC76B7"/>
    <w:rsid w:val="00ED006E"/>
    <w:rsid w:val="00ED378B"/>
    <w:rsid w:val="00EE3374"/>
    <w:rsid w:val="00EE6566"/>
    <w:rsid w:val="00EE7544"/>
    <w:rsid w:val="00EF2F5E"/>
    <w:rsid w:val="00F009B0"/>
    <w:rsid w:val="00F00CBA"/>
    <w:rsid w:val="00F01C7B"/>
    <w:rsid w:val="00F04BB2"/>
    <w:rsid w:val="00F10331"/>
    <w:rsid w:val="00F21671"/>
    <w:rsid w:val="00F2184E"/>
    <w:rsid w:val="00F23CE3"/>
    <w:rsid w:val="00F24B49"/>
    <w:rsid w:val="00F35D31"/>
    <w:rsid w:val="00F45A76"/>
    <w:rsid w:val="00F47200"/>
    <w:rsid w:val="00F51671"/>
    <w:rsid w:val="00F5278E"/>
    <w:rsid w:val="00F55230"/>
    <w:rsid w:val="00F82900"/>
    <w:rsid w:val="00F82FAB"/>
    <w:rsid w:val="00F83704"/>
    <w:rsid w:val="00F83E75"/>
    <w:rsid w:val="00F9287B"/>
    <w:rsid w:val="00F9755C"/>
    <w:rsid w:val="00FA24B8"/>
    <w:rsid w:val="00FA297E"/>
    <w:rsid w:val="00FB0AB4"/>
    <w:rsid w:val="00FC7A6C"/>
    <w:rsid w:val="00FD1782"/>
    <w:rsid w:val="00FD41E1"/>
    <w:rsid w:val="00FD59B9"/>
    <w:rsid w:val="00FE4BF5"/>
    <w:rsid w:val="00FE5F8C"/>
    <w:rsid w:val="00FE7118"/>
    <w:rsid w:val="00FF1B2E"/>
    <w:rsid w:val="00FF45D2"/>
    <w:rsid w:val="026E6FE5"/>
    <w:rsid w:val="03875F45"/>
    <w:rsid w:val="03ED3589"/>
    <w:rsid w:val="0C3C0D09"/>
    <w:rsid w:val="0D1C1FE4"/>
    <w:rsid w:val="0DE874F4"/>
    <w:rsid w:val="0FCA2C17"/>
    <w:rsid w:val="102F1011"/>
    <w:rsid w:val="10B73FC2"/>
    <w:rsid w:val="10CC0FB8"/>
    <w:rsid w:val="11F14E9C"/>
    <w:rsid w:val="168614EC"/>
    <w:rsid w:val="16F92E85"/>
    <w:rsid w:val="1721547A"/>
    <w:rsid w:val="191B0580"/>
    <w:rsid w:val="19411634"/>
    <w:rsid w:val="1B7227E6"/>
    <w:rsid w:val="1C5E0948"/>
    <w:rsid w:val="1D1A520D"/>
    <w:rsid w:val="258E0CA5"/>
    <w:rsid w:val="28AD1EE8"/>
    <w:rsid w:val="28D20D7C"/>
    <w:rsid w:val="2AC81225"/>
    <w:rsid w:val="2DA330AE"/>
    <w:rsid w:val="2E156398"/>
    <w:rsid w:val="344567BB"/>
    <w:rsid w:val="38EE3779"/>
    <w:rsid w:val="3CE05564"/>
    <w:rsid w:val="43841851"/>
    <w:rsid w:val="461B569E"/>
    <w:rsid w:val="4A9920E2"/>
    <w:rsid w:val="4C4640D9"/>
    <w:rsid w:val="4F801282"/>
    <w:rsid w:val="529B3EE9"/>
    <w:rsid w:val="53BE3FBC"/>
    <w:rsid w:val="54C43817"/>
    <w:rsid w:val="573766E0"/>
    <w:rsid w:val="57FD0AC9"/>
    <w:rsid w:val="58365218"/>
    <w:rsid w:val="5AC574C3"/>
    <w:rsid w:val="5C4C5C93"/>
    <w:rsid w:val="5D1C2AE8"/>
    <w:rsid w:val="5E7F3258"/>
    <w:rsid w:val="61B27301"/>
    <w:rsid w:val="625E3482"/>
    <w:rsid w:val="63235333"/>
    <w:rsid w:val="655B4C2C"/>
    <w:rsid w:val="669B1F04"/>
    <w:rsid w:val="66B93518"/>
    <w:rsid w:val="6B734F8E"/>
    <w:rsid w:val="6C7549E1"/>
    <w:rsid w:val="6E51205C"/>
    <w:rsid w:val="73783E77"/>
    <w:rsid w:val="749708BC"/>
    <w:rsid w:val="749E4079"/>
    <w:rsid w:val="75A21720"/>
    <w:rsid w:val="777E04B4"/>
    <w:rsid w:val="789A4685"/>
    <w:rsid w:val="796F472C"/>
    <w:rsid w:val="7A0F221D"/>
    <w:rsid w:val="7A3F0CF9"/>
    <w:rsid w:val="7FBB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ody Text"/>
    <w:basedOn w:val="1"/>
    <w:qFormat/>
    <w:uiPriority w:val="0"/>
    <w:pPr>
      <w:adjustRightInd w:val="0"/>
      <w:ind w:right="1381"/>
      <w:textAlignment w:val="baseline"/>
    </w:pPr>
    <w:rPr>
      <w:kern w:val="0"/>
    </w:rPr>
  </w:style>
  <w:style w:type="paragraph" w:styleId="5">
    <w:name w:val="Body Text Indent"/>
    <w:basedOn w:val="1"/>
    <w:qFormat/>
    <w:uiPriority w:val="0"/>
    <w:pPr>
      <w:ind w:firstLine="735"/>
    </w:pPr>
    <w:rPr>
      <w:rFonts w:eastAsia="仿宋_GB2312"/>
      <w:b/>
      <w:sz w:val="32"/>
    </w:rPr>
  </w:style>
  <w:style w:type="paragraph" w:styleId="6">
    <w:name w:val="Plain Text"/>
    <w:basedOn w:val="1"/>
    <w:link w:val="21"/>
    <w:qFormat/>
    <w:uiPriority w:val="99"/>
    <w:rPr>
      <w:rFonts w:ascii="宋体" w:hAnsi="Courier New" w:eastAsia="Times New Roman"/>
      <w:szCs w:val="21"/>
    </w:rPr>
  </w:style>
  <w:style w:type="paragraph" w:styleId="7">
    <w:name w:val="Balloon Text"/>
    <w:basedOn w:val="1"/>
    <w:link w:val="25"/>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character" w:styleId="13">
    <w:name w:val="Hyperlink"/>
    <w:qFormat/>
    <w:uiPriority w:val="0"/>
    <w:rPr>
      <w:color w:val="0000FF"/>
      <w:u w:val="singl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Char Char1 Char Char Char Char"/>
    <w:basedOn w:val="1"/>
    <w:qFormat/>
    <w:uiPriority w:val="0"/>
    <w:rPr>
      <w:rFonts w:ascii="Tahoma" w:hAnsi="Tahoma"/>
      <w:sz w:val="24"/>
    </w:rPr>
  </w:style>
  <w:style w:type="paragraph" w:customStyle="1" w:styleId="17">
    <w:name w:val="p0"/>
    <w:basedOn w:val="1"/>
    <w:qFormat/>
    <w:uiPriority w:val="0"/>
    <w:pPr>
      <w:widowControl/>
    </w:pPr>
    <w:rPr>
      <w:kern w:val="0"/>
      <w:szCs w:val="21"/>
    </w:rPr>
  </w:style>
  <w:style w:type="paragraph" w:customStyle="1" w:styleId="18">
    <w:name w:val="msolistparagraph"/>
    <w:basedOn w:val="1"/>
    <w:qFormat/>
    <w:uiPriority w:val="0"/>
    <w:pPr>
      <w:ind w:firstLine="420" w:firstLineChars="200"/>
    </w:pPr>
    <w:rPr>
      <w:rFonts w:ascii="Calibri" w:hAnsi="Calibri"/>
      <w:szCs w:val="22"/>
    </w:rPr>
  </w:style>
  <w:style w:type="paragraph" w:customStyle="1" w:styleId="19">
    <w:name w:val="Char"/>
    <w:basedOn w:val="3"/>
    <w:qFormat/>
    <w:uiPriority w:val="0"/>
  </w:style>
  <w:style w:type="paragraph" w:customStyle="1" w:styleId="20">
    <w:name w:val="Char1 Char Char Char"/>
    <w:basedOn w:val="1"/>
    <w:qFormat/>
    <w:uiPriority w:val="0"/>
    <w:rPr>
      <w:rFonts w:ascii="Tahoma" w:hAnsi="Tahoma"/>
      <w:sz w:val="24"/>
    </w:rPr>
  </w:style>
  <w:style w:type="character" w:customStyle="1" w:styleId="21">
    <w:name w:val="纯文本 Char"/>
    <w:link w:val="6"/>
    <w:qFormat/>
    <w:uiPriority w:val="99"/>
    <w:rPr>
      <w:rFonts w:ascii="宋体" w:hAnsi="Courier New" w:eastAsia="Times New Roman"/>
      <w:kern w:val="2"/>
      <w:sz w:val="21"/>
      <w:szCs w:val="21"/>
    </w:rPr>
  </w:style>
  <w:style w:type="character" w:customStyle="1" w:styleId="22">
    <w:name w:val="页脚 Char"/>
    <w:link w:val="8"/>
    <w:qFormat/>
    <w:uiPriority w:val="99"/>
    <w:rPr>
      <w:kern w:val="2"/>
      <w:sz w:val="18"/>
    </w:rPr>
  </w:style>
  <w:style w:type="character" w:customStyle="1" w:styleId="23">
    <w:name w:val="页眉 Char"/>
    <w:link w:val="9"/>
    <w:qFormat/>
    <w:uiPriority w:val="99"/>
    <w:rPr>
      <w:kern w:val="2"/>
      <w:sz w:val="18"/>
    </w:rPr>
  </w:style>
  <w:style w:type="character" w:customStyle="1" w:styleId="24">
    <w:name w:val="标题 1 Char"/>
    <w:link w:val="2"/>
    <w:qFormat/>
    <w:uiPriority w:val="0"/>
    <w:rPr>
      <w:b/>
      <w:bCs/>
      <w:kern w:val="44"/>
      <w:sz w:val="44"/>
      <w:szCs w:val="44"/>
    </w:rPr>
  </w:style>
  <w:style w:type="character" w:customStyle="1" w:styleId="25">
    <w:name w:val="批注框文本 Char"/>
    <w:basedOn w:val="11"/>
    <w:link w:val="7"/>
    <w:qFormat/>
    <w:uiPriority w:val="0"/>
    <w:rPr>
      <w:kern w:val="2"/>
      <w:sz w:val="18"/>
      <w:szCs w:val="18"/>
    </w:rPr>
  </w:style>
  <w:style w:type="paragraph" w:styleId="26">
    <w:name w:val="List Paragraph"/>
    <w:basedOn w:val="1"/>
    <w:unhideWhenUsed/>
    <w:qFormat/>
    <w:uiPriority w:val="99"/>
    <w:pPr>
      <w:ind w:firstLine="420" w:firstLineChars="200"/>
    </w:pPr>
  </w:style>
  <w:style w:type="paragraph" w:customStyle="1" w:styleId="27">
    <w:name w:val="et2"/>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8">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9">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0">
    <w:name w:val="et5"/>
    <w:basedOn w:val="1"/>
    <w:qFormat/>
    <w:uiPriority w:val="0"/>
    <w:pPr>
      <w:widowControl/>
      <w:spacing w:before="100" w:beforeAutospacing="1" w:after="100" w:afterAutospacing="1"/>
      <w:jc w:val="left"/>
      <w:textAlignment w:val="center"/>
    </w:pPr>
    <w:rPr>
      <w:rFonts w:ascii="Arial" w:hAnsi="Arial" w:cs="Arial"/>
      <w:color w:val="000000"/>
      <w:kern w:val="0"/>
      <w:sz w:val="24"/>
      <w:szCs w:val="24"/>
    </w:rPr>
  </w:style>
  <w:style w:type="paragraph" w:customStyle="1" w:styleId="31">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2">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3">
    <w:name w:val="et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9FBE83-FCA2-4FF6-9D6F-FEA0A458E41B}">
  <ds:schemaRefs/>
</ds:datastoreItem>
</file>

<file path=docProps/app.xml><?xml version="1.0" encoding="utf-8"?>
<Properties xmlns="http://schemas.openxmlformats.org/officeDocument/2006/extended-properties" xmlns:vt="http://schemas.openxmlformats.org/officeDocument/2006/docPropsVTypes">
  <Template>Normal</Template>
  <Company>pgy</Company>
  <Pages>1</Pages>
  <Words>17224</Words>
  <Characters>98181</Characters>
  <Lines>818</Lines>
  <Paragraphs>230</Paragraphs>
  <ScaleCrop>false</ScaleCrop>
  <LinksUpToDate>false</LinksUpToDate>
  <CharactersWithSpaces>115175</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2017-10-23T08:20:00Z</dcterms:created>
  <dc:creator>pgy</dc:creator>
  <cp:lastModifiedBy>秦●舞阳</cp:lastModifiedBy>
  <cp:lastPrinted>2017-12-03T22:58:00Z</cp:lastPrinted>
  <dcterms:modified xsi:type="dcterms:W3CDTF">2017-12-04T02:33:49Z</dcterms:modified>
  <dc:title>编号：</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