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b/>
          <w:sz w:val="28"/>
          <w:szCs w:val="28"/>
        </w:rPr>
        <w:t>“</w:t>
      </w:r>
      <w:r>
        <w:rPr>
          <w:rStyle w:val="6"/>
          <w:rFonts w:hint="eastAsia" w:ascii="宋体" w:hAnsi="宋体" w:eastAsia="宋体" w:cs="宋体"/>
          <w:b/>
          <w:sz w:val="28"/>
          <w:szCs w:val="28"/>
          <w:lang w:eastAsia="zh-CN"/>
        </w:rPr>
        <w:t>基于学生核心素养的词句教学实践与</w:t>
      </w:r>
      <w:r>
        <w:rPr>
          <w:rStyle w:val="6"/>
          <w:rFonts w:hint="eastAsia" w:ascii="宋体" w:hAnsi="宋体" w:eastAsia="宋体" w:cs="宋体"/>
          <w:b/>
          <w:sz w:val="28"/>
          <w:szCs w:val="28"/>
        </w:rPr>
        <w:t>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b/>
          <w:sz w:val="28"/>
          <w:szCs w:val="28"/>
        </w:rPr>
        <w:t>课题研究理论学习记载表</w:t>
      </w:r>
    </w:p>
    <w:tbl>
      <w:tblPr>
        <w:tblStyle w:val="9"/>
        <w:tblW w:w="9105" w:type="dxa"/>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80"/>
        <w:gridCol w:w="4259"/>
        <w:gridCol w:w="1597"/>
        <w:gridCol w:w="2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1135" w:type="dxa"/>
            <w:vMerge w:val="restart"/>
            <w:tcBorders>
              <w:top w:val="single" w:color="auto" w:sz="12" w:space="0"/>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b/>
                <w:sz w:val="24"/>
                <w:szCs w:val="24"/>
              </w:rPr>
              <w:t>学习主题</w:t>
            </w:r>
          </w:p>
        </w:tc>
        <w:tc>
          <w:tcPr>
            <w:tcW w:w="4229" w:type="dxa"/>
            <w:vMerge w:val="restart"/>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top"/>
              <w:rPr>
                <w:rFonts w:hint="eastAsia" w:eastAsiaTheme="minorEastAsia"/>
                <w:lang w:eastAsia="zh-CN"/>
              </w:rPr>
            </w:pPr>
            <w:r>
              <w:rPr>
                <w:rFonts w:hint="eastAsia"/>
                <w:lang w:eastAsia="zh-CN"/>
              </w:rPr>
              <w:t>词句综述</w:t>
            </w:r>
          </w:p>
        </w:tc>
        <w:tc>
          <w:tcPr>
            <w:tcW w:w="1567" w:type="dxa"/>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b/>
                <w:sz w:val="24"/>
                <w:szCs w:val="24"/>
              </w:rPr>
              <w:t>姓    名</w:t>
            </w:r>
          </w:p>
        </w:tc>
        <w:tc>
          <w:tcPr>
            <w:tcW w:w="2024" w:type="dxa"/>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eastAsiaTheme="minorEastAsia"/>
                <w:lang w:eastAsia="zh-CN"/>
              </w:rPr>
            </w:pPr>
            <w:r>
              <w:rPr>
                <w:rFonts w:hint="eastAsia"/>
                <w:lang w:eastAsia="zh-CN"/>
              </w:rPr>
              <w:t>周锭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1135" w:type="dxa"/>
            <w:vMerge w:val="continue"/>
            <w:tcBorders>
              <w:top w:val="single" w:color="auto" w:sz="12" w:space="0"/>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29" w:type="dxa"/>
            <w:vMerge w:val="continue"/>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b/>
                <w:sz w:val="24"/>
                <w:szCs w:val="24"/>
              </w:rPr>
              <w:t>学习时间</w:t>
            </w:r>
          </w:p>
        </w:tc>
        <w:tc>
          <w:tcPr>
            <w:tcW w:w="2024" w:type="dxa"/>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b/>
                <w:sz w:val="24"/>
                <w:szCs w:val="24"/>
              </w:rPr>
              <w:t>201</w:t>
            </w:r>
            <w:r>
              <w:rPr>
                <w:rStyle w:val="6"/>
                <w:rFonts w:hint="eastAsia" w:ascii="宋体" w:hAnsi="宋体" w:eastAsia="宋体" w:cs="宋体"/>
                <w:b/>
                <w:sz w:val="24"/>
                <w:szCs w:val="24"/>
                <w:lang w:val="en-US" w:eastAsia="zh-CN"/>
              </w:rPr>
              <w:t>7</w:t>
            </w:r>
            <w:r>
              <w:rPr>
                <w:rStyle w:val="6"/>
                <w:rFonts w:hint="eastAsia" w:ascii="宋体" w:hAnsi="宋体" w:eastAsia="宋体" w:cs="宋体"/>
                <w:b/>
                <w:sz w:val="24"/>
                <w:szCs w:val="24"/>
              </w:rPr>
              <w:t>.0</w:t>
            </w:r>
            <w:r>
              <w:rPr>
                <w:rStyle w:val="6"/>
                <w:rFonts w:hint="eastAsia" w:ascii="宋体" w:hAnsi="宋体" w:eastAsia="宋体" w:cs="宋体"/>
                <w:b/>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340" w:hRule="atLeast"/>
          <w:tblCellSpacing w:w="15" w:type="dxa"/>
        </w:trPr>
        <w:tc>
          <w:tcPr>
            <w:tcW w:w="1135" w:type="dxa"/>
            <w:tcBorders>
              <w:top w:val="nil"/>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b/>
                <w:sz w:val="24"/>
                <w:szCs w:val="24"/>
              </w:rPr>
              <w:t>内容摘要</w:t>
            </w:r>
          </w:p>
        </w:tc>
        <w:tc>
          <w:tcPr>
            <w:tcW w:w="7880" w:type="dxa"/>
            <w:gridSpan w:val="3"/>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rPr>
                <w:rFonts w:hint="eastAsia"/>
              </w:rPr>
            </w:pPr>
            <w:r>
              <w:rPr>
                <w:rFonts w:hint="eastAsia"/>
                <w:sz w:val="24"/>
                <w:lang w:val="en-US" w:eastAsia="zh-CN"/>
              </w:rPr>
              <w:t xml:space="preserve">  </w:t>
            </w:r>
            <w:r>
              <w:rPr>
                <w:rFonts w:hint="eastAsia"/>
              </w:rPr>
              <w:t>语言专家们对词块做出了不同的分类，按照其结构可以分为四类：（1）多词组合：指具有习语性质的固定词组。如“by the way”, “to be frank ”等等；（2）惯用表达式：指形式固定或半固定的具有语用功能的单词组合。如“It’s up to you”，“Need a hand”等等；（3）限制性短语：这类词块是由某些固定结构形成的框架式短语，语言使用者可以根据需要进行替换。如“as far as…concerned”，“to one’s surprise/astonishment”等等；（4）句子框架结构和引语：这类词块指为整个句子提供框架的词汇短语及引语。如：“Help yourself to some… ”，“Give my regards to your …”等等。从词汇层到句子层，词汇组块形式从完全固定的表达到半固定的表达，其间断性越来越大，灵活性依次增强，这就为语言学习者掌握词块，从而创造性地使用词块提供了可能。</w:t>
            </w:r>
          </w:p>
          <w:p>
            <w:pPr>
              <w:rPr>
                <w:rFonts w:hint="eastAsia"/>
              </w:rPr>
            </w:pPr>
            <w:r>
              <w:rPr>
                <w:rFonts w:hint="eastAsia"/>
              </w:rPr>
              <w:t xml:space="preserve">    词块是语言使用者在语言输入和输出过程中频繁使用的,具有特定语义和结构并以固定或者半固定形式存在的,有利于提高语言生成能力的短语,固定搭配,习惯用语和句式。例如:A friend of mine /put forward some suggestions on traveling/in his letter.这个句子可以看成是三个词块组成的。词块有如下特点:(1)预制性。每一种语言都存在着大量公式化的,预制性的词块。掌握大量词块是以后熟练和创造性使用语言的基础。(2)词块集语义,语境和语法为一体。也就是说,词块的使用是为了表达特定的意义,词块的构成有着一定的结构和规则。(3)约定性。许多词块是人们在语言行为过程中约定俗成的,它们按照特定的社会惯例而形成并有固定或半固定的搭配。如be superior to; by the way; the +比较级, the +比较级等等。</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textAlignment w:val="auto"/>
              <w:outlineLvl w:val="9"/>
              <w:rPr>
                <w:sz w:val="24"/>
              </w:rPr>
            </w:pPr>
            <w:r>
              <w:rPr>
                <w:rFonts w:hint="eastAsia"/>
              </w:rPr>
              <w:t>笔者主张有效利用词块来解决学生语言产出水平低的问题(包括语病百出,表达不符合英语语言习惯,母语干扰现象严重等)。这需要大量的有意识的积累。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35" w:hRule="atLeast"/>
          <w:tblCellSpacing w:w="15" w:type="dxa"/>
        </w:trPr>
        <w:tc>
          <w:tcPr>
            <w:tcW w:w="1135" w:type="dxa"/>
            <w:tcBorders>
              <w:top w:val="nil"/>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b/>
                <w:sz w:val="24"/>
                <w:szCs w:val="24"/>
              </w:rPr>
              <w:t>心得体会</w:t>
            </w:r>
          </w:p>
        </w:tc>
        <w:tc>
          <w:tcPr>
            <w:tcW w:w="7880" w:type="dxa"/>
            <w:gridSpan w:val="3"/>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rPr>
                <w:rFonts w:hint="eastAsia"/>
              </w:rPr>
            </w:pPr>
            <w:r>
              <w:rPr>
                <w:rFonts w:hint="eastAsia" w:ascii="宋体" w:hAnsi="宋体" w:eastAsia="宋体" w:cs="宋体"/>
                <w:b w:val="0"/>
                <w:i w:val="0"/>
                <w:caps w:val="0"/>
                <w:color w:val="000000"/>
                <w:spacing w:val="0"/>
                <w:sz w:val="24"/>
                <w:szCs w:val="24"/>
                <w:shd w:val="clear" w:fill="FFFFFF"/>
              </w:rPr>
              <w:t>  </w:t>
            </w:r>
            <w:r>
              <w:rPr>
                <w:rFonts w:hint="eastAsia"/>
              </w:rPr>
              <w:t>词块积累对学生写作有如下作用:</w:t>
            </w:r>
          </w:p>
          <w:p>
            <w:pPr>
              <w:numPr>
                <w:ilvl w:val="0"/>
                <w:numId w:val="1"/>
              </w:numPr>
              <w:rPr>
                <w:rFonts w:hint="eastAsia"/>
              </w:rPr>
            </w:pPr>
            <w:r>
              <w:rPr>
                <w:rFonts w:hint="eastAsia"/>
              </w:rPr>
              <w:t>提高准确度和地道性。词块的构成成分受语法结构与语义搭配的双重限制,记忆不易出错,学生即学即用,可提高表达的准确度和地道性。</w:t>
            </w:r>
          </w:p>
          <w:p>
            <w:pPr>
              <w:rPr>
                <w:rFonts w:hint="eastAsia"/>
              </w:rPr>
            </w:pPr>
            <w:r>
              <w:rPr>
                <w:rFonts w:hint="eastAsia"/>
              </w:rPr>
              <w:t>2.提高流畅性和连贯性。词块是具有预制性的整体存储单位,写作时学生可以从记忆中以整体形式提取,无须再临时考虑词,句组合的规则及结构的正确性,大大减少遣词造句的负担</w:t>
            </w:r>
            <w:r>
              <w:rPr>
                <w:rFonts w:hint="eastAsia"/>
                <w:lang w:eastAsia="zh-CN"/>
              </w:rPr>
              <w:t>，</w:t>
            </w:r>
            <w:r>
              <w:rPr>
                <w:rFonts w:hint="eastAsia"/>
              </w:rPr>
              <w:t>使文章更流畅和连贯。</w:t>
            </w:r>
          </w:p>
          <w:p>
            <w:pPr>
              <w:rPr>
                <w:rFonts w:hint="eastAsia"/>
              </w:rPr>
            </w:pPr>
            <w:r>
              <w:rPr>
                <w:rFonts w:hint="eastAsia"/>
              </w:rPr>
              <w:t>3.提高对作文的宏观控制能力。在写作时使用足够的词块,在减少大脑处理信息负担的同时,还可以使学生把部分注意力集中到如何从整体角度去组织写作内容上</w:t>
            </w:r>
            <w:r>
              <w:rPr>
                <w:rFonts w:hint="eastAsia"/>
                <w:lang w:eastAsia="zh-CN"/>
              </w:rPr>
              <w:t>，</w:t>
            </w:r>
            <w:r>
              <w:rPr>
                <w:rFonts w:hint="eastAsia"/>
              </w:rPr>
              <w:t>显得结构完整,条理清晰,上下衔接,首尾呼应。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333333"/>
                <w:spacing w:val="0"/>
                <w:sz w:val="21"/>
                <w:szCs w:val="21"/>
              </w:rPr>
            </w:pP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mic Sans MS">
    <w:panose1 w:val="030F0702030302020204"/>
    <w:charset w:val="00"/>
    <w:family w:val="auto"/>
    <w:pitch w:val="default"/>
    <w:sig w:usb0="00000287" w:usb1="40000013" w:usb2="00000000" w:usb3="00000000" w:csb0="2000009F" w:csb1="00000000"/>
  </w:font>
  <w:font w:name="Calligraph421 BT">
    <w:panose1 w:val="03060702050402020204"/>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iragino Sans GB">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4392"/>
    <w:multiLevelType w:val="singleLevel"/>
    <w:tmpl w:val="59F9439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C00A5"/>
    <w:rsid w:val="06F4690A"/>
    <w:rsid w:val="189305BE"/>
    <w:rsid w:val="41EC00A5"/>
    <w:rsid w:val="47C872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2016-12-28T21:02:00Z</dcterms:created>
  <dc:creator>Administrator</dc:creator>
  <cp:lastModifiedBy>周周</cp:lastModifiedBy>
  <dcterms:modified xsi:type="dcterms:W3CDTF">2017-11-01T09:11:21Z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