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>封面页：</w:t>
      </w:r>
    </w:p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中国英语阅读研究院十三五规划专项课题</w:t>
      </w:r>
    </w:p>
    <w:p>
      <w:pPr>
        <w:ind w:firstLine="58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“</w:t>
      </w:r>
      <w:r>
        <w:rPr>
          <w:rFonts w:hint="eastAsia"/>
          <w:b/>
          <w:bCs/>
          <w:sz w:val="36"/>
          <w:szCs w:val="36"/>
        </w:rPr>
        <w:t>英语阅读教研共同体建设研究</w:t>
      </w:r>
      <w:r>
        <w:rPr>
          <w:rFonts w:hint="eastAsia"/>
          <w:sz w:val="36"/>
          <w:szCs w:val="36"/>
        </w:rPr>
        <w:t>”子课题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“</w:t>
      </w:r>
      <w:r>
        <w:rPr>
          <w:rFonts w:hint="eastAsia" w:ascii="华文新魏" w:hAnsi="华文新魏" w:eastAsia="华文新魏" w:cs="华文新魏"/>
          <w:sz w:val="32"/>
          <w:szCs w:val="32"/>
        </w:rPr>
        <w:t>课程视野下小学英语阅读素养</w:t>
      </w: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培养</w:t>
      </w:r>
      <w:r>
        <w:rPr>
          <w:rFonts w:hint="eastAsia" w:ascii="华文新魏" w:hAnsi="华文新魏" w:eastAsia="华文新魏" w:cs="华文新魏"/>
          <w:sz w:val="32"/>
          <w:szCs w:val="32"/>
        </w:rPr>
        <w:t>的策略研究</w:t>
      </w:r>
      <w:r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  <w:lang w:eastAsia="zh-CN"/>
        </w:rPr>
        <w:t>子课题</w:t>
      </w:r>
    </w:p>
    <w:p>
      <w:pPr>
        <w:jc w:val="center"/>
        <w:rPr>
          <w:rFonts w:hint="eastAsia" w:ascii="华文新魏" w:hAnsi="华文新魏" w:eastAsia="华文新魏" w:cs="华文新魏"/>
          <w:sz w:val="32"/>
          <w:szCs w:val="32"/>
        </w:rPr>
      </w:pP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“</w:t>
      </w:r>
      <w:r>
        <w:rPr>
          <w:rFonts w:hint="eastAsia" w:ascii="华文新魏" w:hAnsi="华文新魏" w:eastAsia="华文新魏" w:cs="华文新魏"/>
          <w:sz w:val="32"/>
          <w:szCs w:val="32"/>
        </w:rPr>
        <w:t>农村小学生</w:t>
      </w: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英语课外</w:t>
      </w:r>
      <w:r>
        <w:rPr>
          <w:rFonts w:hint="eastAsia" w:ascii="华文新魏" w:hAnsi="华文新魏" w:eastAsia="华文新魏" w:cs="华文新魏"/>
          <w:sz w:val="32"/>
          <w:szCs w:val="32"/>
        </w:rPr>
        <w:t>阅读兴</w:t>
      </w: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趣和习惯</w:t>
      </w:r>
      <w:r>
        <w:rPr>
          <w:rFonts w:hint="eastAsia" w:ascii="华文新魏" w:hAnsi="华文新魏" w:eastAsia="华文新魏" w:cs="华文新魏"/>
          <w:sz w:val="32"/>
          <w:szCs w:val="32"/>
        </w:rPr>
        <w:t>培养</w:t>
      </w:r>
      <w:r>
        <w:rPr>
          <w:rFonts w:hint="eastAsia" w:ascii="华文新魏" w:hAnsi="华文新魏" w:eastAsia="华文新魏" w:cs="华文新魏"/>
          <w:sz w:val="32"/>
          <w:szCs w:val="32"/>
          <w:lang w:eastAsia="zh-CN"/>
        </w:rPr>
        <w:t>的研究”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       计划书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             子课题负责人：</w:t>
      </w:r>
      <w:r>
        <w:rPr>
          <w:rFonts w:hint="eastAsia"/>
          <w:sz w:val="24"/>
          <w:lang w:eastAsia="zh-CN"/>
        </w:rPr>
        <w:t>鲁利玲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常州市武进区潘家小学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 xml:space="preserve">               子课题指导者：</w:t>
      </w:r>
      <w:r>
        <w:rPr>
          <w:rFonts w:hint="eastAsia" w:ascii="宋体" w:hAnsi="宋体"/>
          <w:position w:val="6"/>
          <w:sz w:val="24"/>
        </w:rPr>
        <w:t>黄小燕</w:t>
      </w:r>
      <w:r>
        <w:rPr>
          <w:sz w:val="24"/>
        </w:rPr>
        <w:t xml:space="preserve">   </w:t>
      </w:r>
      <w:r>
        <w:rPr>
          <w:rFonts w:hint="eastAsia" w:ascii="宋体" w:hAnsi="宋体"/>
          <w:position w:val="6"/>
          <w:sz w:val="24"/>
        </w:rPr>
        <w:t>常州市教育局教研室</w:t>
      </w:r>
    </w:p>
    <w:p>
      <w:pPr>
        <w:rPr>
          <w:sz w:val="24"/>
        </w:rPr>
      </w:pPr>
      <w:r>
        <w:rPr>
          <w:sz w:val="24"/>
        </w:rPr>
        <w:t xml:space="preserve">                 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sz w:val="24"/>
        </w:rPr>
        <w:t xml:space="preserve"> </w:t>
      </w:r>
      <w:r>
        <w:rPr>
          <w:rFonts w:hint="eastAsia" w:ascii="宋体" w:hAnsi="宋体"/>
          <w:position w:val="6"/>
          <w:sz w:val="24"/>
        </w:rPr>
        <w:t>刘丽华</w:t>
      </w:r>
      <w:r>
        <w:rPr>
          <w:sz w:val="24"/>
        </w:rPr>
        <w:t xml:space="preserve">   </w:t>
      </w:r>
      <w:r>
        <w:rPr>
          <w:rFonts w:hint="eastAsia" w:ascii="宋体" w:hAnsi="宋体"/>
          <w:position w:val="6"/>
          <w:sz w:val="24"/>
        </w:rPr>
        <w:t>常州市武进区教师发展中心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</w:t>
      </w:r>
    </w:p>
    <w:p>
      <w:pPr>
        <w:rPr>
          <w:sz w:val="32"/>
          <w:szCs w:val="32"/>
        </w:rPr>
      </w:pPr>
    </w:p>
    <w:p/>
    <w:p/>
    <w:p/>
    <w:p/>
    <w:p/>
    <w:p/>
    <w:p/>
    <w:p/>
    <w:p/>
    <w:p/>
    <w:p/>
    <w:p/>
    <w:p/>
    <w:p/>
    <w:p/>
    <w:p>
      <w:pPr>
        <w:rPr>
          <w:color w:val="auto"/>
        </w:rPr>
      </w:pPr>
      <w:r>
        <w:rPr>
          <w:rFonts w:hint="eastAsia"/>
          <w:color w:val="auto"/>
        </w:rPr>
        <w:t>内容页：</w:t>
      </w:r>
    </w:p>
    <w:p>
      <w:pPr>
        <w:numPr>
          <w:ilvl w:val="0"/>
          <w:numId w:val="1"/>
        </w:numPr>
        <w:rPr>
          <w:color w:val="auto"/>
        </w:rPr>
      </w:pPr>
      <w:r>
        <w:rPr>
          <w:rFonts w:hint="eastAsia"/>
          <w:b/>
          <w:color w:val="auto"/>
          <w:sz w:val="24"/>
        </w:rPr>
        <w:t>课题说明</w:t>
      </w:r>
      <w:r>
        <w:rPr>
          <w:rFonts w:hint="eastAsia"/>
          <w:color w:val="auto"/>
        </w:rPr>
        <w:t>（300字以内）</w:t>
      </w:r>
    </w:p>
    <w:p>
      <w:pPr>
        <w:ind w:left="252" w:right="71"/>
        <w:jc w:val="left"/>
        <w:rPr>
          <w:rFonts w:ascii="宋体"/>
          <w:b/>
          <w:bCs/>
          <w:color w:val="auto"/>
          <w:sz w:val="24"/>
        </w:rPr>
      </w:pPr>
      <w:r>
        <w:rPr>
          <w:rFonts w:hint="eastAsia"/>
          <w:color w:val="auto"/>
        </w:rPr>
        <w:t xml:space="preserve">  </w:t>
      </w:r>
      <w:r>
        <w:rPr>
          <w:rFonts w:hint="eastAsia" w:ascii="宋体" w:hAnsi="宋体"/>
          <w:b/>
          <w:color w:val="auto"/>
          <w:sz w:val="24"/>
        </w:rPr>
        <w:t>·</w:t>
      </w:r>
      <w:r>
        <w:rPr>
          <w:rFonts w:hint="eastAsia" w:ascii="宋体" w:hAnsi="宋体"/>
          <w:b/>
          <w:bCs/>
          <w:color w:val="auto"/>
          <w:sz w:val="24"/>
        </w:rPr>
        <w:t>本课题核心概念的界定：</w:t>
      </w:r>
    </w:p>
    <w:p>
      <w:pPr>
        <w:ind w:right="71" w:firstLine="481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  <w:t>课外阅读</w:t>
      </w:r>
      <w:r>
        <w:rPr>
          <w:rFonts w:hint="eastAsia" w:ascii="宋体" w:hAnsi="宋体"/>
          <w:b/>
          <w:bCs w:val="0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课外阅读是指以英语教材为中心，向周边辐射，进行课外阅读，使课内阅读变成课外阅读的凭借和依托，课外阅读变成课内阅读的扩展和补充。</w:t>
      </w:r>
    </w:p>
    <w:p>
      <w:pPr>
        <w:ind w:right="71" w:firstLine="481"/>
        <w:jc w:val="lef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  <w:t>农村小学生课外阅读兴趣和习惯的培养</w:t>
      </w:r>
      <w:r>
        <w:rPr>
          <w:rFonts w:hint="eastAsia" w:ascii="宋体" w:hAnsi="宋体"/>
          <w:b/>
          <w:bCs w:val="0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农村小学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英语课外阅读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兴趣和习惯的培养研究是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以农村小学的学生为研究对象，由于小学生的听说读写能力发展不平衡，加上农村学生的特殊环境，缺乏英语的学习氛围，因而从阅读兴趣和阅读方法上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着手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研究出农村小学英语课外阅读能力培养的策略，使他们爱上英语阅读。</w:t>
      </w:r>
    </w:p>
    <w:p>
      <w:pPr>
        <w:ind w:left="252" w:right="71"/>
        <w:jc w:val="lef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·</w:t>
      </w:r>
      <w:r>
        <w:rPr>
          <w:rFonts w:hint="eastAsia" w:ascii="宋体" w:hAnsi="宋体"/>
          <w:b/>
          <w:bCs/>
          <w:sz w:val="24"/>
        </w:rPr>
        <w:t>本课题研究背景：</w:t>
      </w:r>
    </w:p>
    <w:p>
      <w:pPr>
        <w:ind w:right="71"/>
        <w:jc w:val="left"/>
        <w:rPr>
          <w:rFonts w:hint="eastAsia" w:ascii="宋体" w:hAnsi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lang w:eastAsia="zh-CN"/>
        </w:rPr>
        <w:t xml:space="preserve">  （</w:t>
      </w:r>
      <w:r>
        <w:rPr>
          <w:rFonts w:hint="eastAsia" w:ascii="宋体" w:hAnsi="宋体"/>
          <w:bCs/>
          <w:sz w:val="24"/>
          <w:lang w:val="en-US" w:eastAsia="zh-CN"/>
        </w:rPr>
        <w:t>1</w:t>
      </w:r>
      <w:r>
        <w:rPr>
          <w:rFonts w:hint="eastAsia" w:ascii="宋体" w:hAnsi="宋体"/>
          <w:bCs/>
          <w:sz w:val="24"/>
          <w:lang w:eastAsia="zh-CN"/>
        </w:rPr>
        <w:t>）在中小学阅读教学实践中，很多老师反映教材的输入量不足，在培养学生英语阅读素养方面具有一定的局限性，所以有必要采用相应的课外读物对当今教材做有效补充，使阅读能力和阅读品格得不到有效提升。</w:t>
      </w:r>
    </w:p>
    <w:p>
      <w:pPr>
        <w:ind w:right="71"/>
        <w:jc w:val="left"/>
        <w:rPr>
          <w:rFonts w:hint="eastAsia" w:ascii="宋体" w:hAnsi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eastAsia="zh-CN"/>
        </w:rPr>
        <w:t xml:space="preserve">  </w:t>
      </w: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lang w:eastAsia="zh-CN"/>
        </w:rPr>
        <w:t>）兴趣是需求的内驱力，只有培养学生对课外阅读的浓厚兴趣，学生才会以积极主动的心态，投入到课外阅读中去。但农村孩子缺乏阅读的兴趣和习惯，需要我们教师用艺术去点燃学生对课外阅读的渴望，变 “要我读”为“我要读”。</w:t>
      </w:r>
    </w:p>
    <w:p>
      <w:pPr>
        <w:ind w:left="252" w:right="71"/>
        <w:jc w:val="lef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·</w:t>
      </w:r>
      <w:r>
        <w:rPr>
          <w:rFonts w:hint="eastAsia" w:ascii="宋体" w:hAnsi="宋体"/>
          <w:b/>
          <w:bCs/>
          <w:sz w:val="24"/>
        </w:rPr>
        <w:t>本课题研究意义：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  <w:lang w:val="en-US" w:eastAsia="zh-CN"/>
        </w:rPr>
        <w:t>通过本课题的研究</w:t>
      </w:r>
      <w:r>
        <w:rPr>
          <w:rFonts w:hint="eastAsia" w:ascii="宋体" w:hAnsi="宋体"/>
          <w:bCs/>
          <w:sz w:val="24"/>
          <w:lang w:eastAsia="zh-CN"/>
        </w:rPr>
        <w:t>激发学生的英语课外阅读热情，挖掘学生的学习潜能，培养学生良好的阅读习惯，指导学生掌握课外阅读的策略，并对学生的课外阅读及时作出合理的评价, 以此来提高学生的英语理解能力和阅读效率，增强学生学习英语的自信心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</w:rPr>
        <w:t>（核心概念解释；课题确定的过程、理由及意义等）</w:t>
      </w:r>
    </w:p>
    <w:p/>
    <w:p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参与人员</w:t>
      </w:r>
    </w:p>
    <w:tbl>
      <w:tblPr>
        <w:tblStyle w:val="7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56"/>
        <w:gridCol w:w="1864"/>
        <w:gridCol w:w="1635"/>
        <w:gridCol w:w="235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姓名、</w:t>
            </w:r>
          </w:p>
          <w:p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教龄/学历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当前所任年级/</w:t>
            </w:r>
          </w:p>
          <w:p>
            <w:pPr>
              <w:jc w:val="center"/>
            </w:pPr>
            <w:r>
              <w:rPr>
                <w:rFonts w:hint="eastAsia"/>
              </w:rPr>
              <w:t>班级及人数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单位职务、</w:t>
            </w:r>
          </w:p>
          <w:p>
            <w:pPr>
              <w:jc w:val="center"/>
            </w:pPr>
            <w:r>
              <w:rPr>
                <w:rFonts w:hint="eastAsia"/>
              </w:rPr>
              <w:t>本课题承担任务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鲁利玲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20/本科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武进区潘家小学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四（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四（2）48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教研处副主任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本课题负责人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  丽</w:t>
            </w:r>
          </w:p>
        </w:tc>
        <w:tc>
          <w:tcPr>
            <w:tcW w:w="115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9/本科</w:t>
            </w:r>
          </w:p>
        </w:tc>
        <w:tc>
          <w:tcPr>
            <w:tcW w:w="18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武进区潘家小学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四（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四（4）48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教师、实验班级、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课题材料收集与整理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鲁  燕</w:t>
            </w:r>
          </w:p>
        </w:tc>
        <w:tc>
          <w:tcPr>
            <w:tcW w:w="115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12/本科</w:t>
            </w:r>
          </w:p>
        </w:tc>
        <w:tc>
          <w:tcPr>
            <w:tcW w:w="18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武进区潘家小学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三（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44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四（5）47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教师、实验班级、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课题材料收集与整理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杨唯洁</w:t>
            </w:r>
          </w:p>
        </w:tc>
        <w:tc>
          <w:tcPr>
            <w:tcW w:w="115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10/本科</w:t>
            </w:r>
          </w:p>
        </w:tc>
        <w:tc>
          <w:tcPr>
            <w:tcW w:w="18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武进区潘家小学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五（1）50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五（2）50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教师、实验班级、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课题材料收集与整理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汤凌云</w:t>
            </w:r>
          </w:p>
        </w:tc>
        <w:tc>
          <w:tcPr>
            <w:tcW w:w="1156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12/本科</w:t>
            </w:r>
          </w:p>
        </w:tc>
        <w:tc>
          <w:tcPr>
            <w:tcW w:w="1864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武进区潘家小学</w:t>
            </w:r>
          </w:p>
        </w:tc>
        <w:tc>
          <w:tcPr>
            <w:tcW w:w="16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三（1）48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三（2）41</w:t>
            </w:r>
            <w:bookmarkStart w:id="0" w:name="_GoBack"/>
            <w:bookmarkEnd w:id="0"/>
          </w:p>
        </w:tc>
        <w:tc>
          <w:tcPr>
            <w:tcW w:w="235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教师、实验班级、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课题材料收集与整理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可添加行；备注栏可填相关的教研成果、业务特长、其他个人情况</w:t>
      </w:r>
    </w:p>
    <w:p/>
    <w:p/>
    <w:p>
      <w:pPr>
        <w:numPr>
          <w:ilvl w:val="0"/>
          <w:numId w:val="1"/>
        </w:numPr>
      </w:pPr>
      <w:r>
        <w:rPr>
          <w:rFonts w:hint="eastAsia"/>
          <w:b/>
          <w:sz w:val="24"/>
        </w:rPr>
        <w:t>研究目标</w:t>
      </w:r>
      <w:r>
        <w:rPr>
          <w:rFonts w:hint="eastAsia"/>
        </w:rPr>
        <w:t>（200字以内）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</w:pPr>
      <w:r>
        <w:rPr>
          <w:rFonts w:hint="eastAsia"/>
        </w:rPr>
        <w:t xml:space="preserve">  </w:t>
      </w:r>
      <w: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  <w:t xml:space="preserve"> 通过本课题研究激发小学生英语阅读兴趣，</w:t>
      </w:r>
      <w:r>
        <w:rPr>
          <w:rFonts w:hint="eastAsia" w:ascii="宋体" w:hAnsi="宋体" w:cstheme="minorBidi"/>
          <w:bCs/>
          <w:kern w:val="2"/>
          <w:sz w:val="24"/>
          <w:szCs w:val="24"/>
          <w:lang w:val="en-US" w:eastAsia="zh-CN" w:bidi="ar-SA"/>
        </w:rPr>
        <w:t>养成阅读习惯，</w:t>
      </w:r>
      <w: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  <w:t>形成阅读策略，发展阅读能力，从而最终提高学生的英语综合运用能力。</w:t>
      </w:r>
    </w:p>
    <w:p>
      <w:pP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theme="minorBidi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  <w:t>关于方法：</w:t>
      </w:r>
    </w:p>
    <w:p>
      <w:pPr>
        <w:numPr>
          <w:ilvl w:val="0"/>
          <w:numId w:val="2"/>
        </w:numP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  <w:t>如何指导学生</w:t>
      </w:r>
      <w:r>
        <w:rPr>
          <w:rFonts w:hint="eastAsia" w:ascii="宋体" w:hAnsi="宋体" w:cstheme="minorBidi"/>
          <w:bCs/>
          <w:kern w:val="2"/>
          <w:sz w:val="24"/>
          <w:szCs w:val="24"/>
          <w:lang w:val="en-US" w:eastAsia="zh-CN" w:bidi="ar-SA"/>
        </w:rPr>
        <w:t>选取合适的课外</w:t>
      </w:r>
      <w: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  <w:t>读物？</w:t>
      </w:r>
    </w:p>
    <w:p>
      <w:pPr>
        <w:numPr>
          <w:ilvl w:val="0"/>
          <w:numId w:val="2"/>
        </w:numP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  <w:t>如何</w:t>
      </w:r>
      <w:r>
        <w:rPr>
          <w:rFonts w:hint="eastAsia" w:ascii="宋体" w:hAnsi="宋体" w:cstheme="minorBidi"/>
          <w:bCs/>
          <w:kern w:val="2"/>
          <w:sz w:val="24"/>
          <w:szCs w:val="24"/>
          <w:lang w:val="en-US" w:eastAsia="zh-CN" w:bidi="ar-SA"/>
        </w:rPr>
        <w:t>指导学生进行有效的课外阅读</w:t>
      </w:r>
      <w: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  <w:t>？</w:t>
      </w:r>
    </w:p>
    <w:p>
      <w:pPr>
        <w:numPr>
          <w:ilvl w:val="0"/>
          <w:numId w:val="2"/>
        </w:numP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bCs/>
          <w:kern w:val="2"/>
          <w:sz w:val="24"/>
          <w:szCs w:val="24"/>
          <w:lang w:val="en-US" w:eastAsia="zh-CN" w:bidi="ar-SA"/>
        </w:rPr>
        <w:t>教师如何上好课外阅读指导课？</w:t>
      </w:r>
    </w:p>
    <w:p>
      <w:pP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theme="minorBidi"/>
          <w:bCs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  <w:t>关于效果：</w:t>
      </w:r>
    </w:p>
    <w:p>
      <w:pP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  <w:t>1）课外阅读对改进学生阅读态度和行为有何效果？</w:t>
      </w:r>
    </w:p>
    <w:p>
      <w:pP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  <w:t>2）课外阅读对提高学生阅读理解能力有何效果？</w:t>
      </w:r>
    </w:p>
    <w:p>
      <w:pP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  <w:t>3）教师的阅读教学及教研能力有何变化？</w:t>
      </w:r>
    </w:p>
    <w:p>
      <w:pPr>
        <w:rPr>
          <w:rFonts w:hint="eastAsia" w:ascii="宋体" w:hAnsi="宋体" w:eastAsiaTheme="minorEastAsia" w:cstheme="minorBidi"/>
          <w:bCs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</w:pPr>
      <w:r>
        <w:rPr>
          <w:rFonts w:hint="eastAsia"/>
          <w:b/>
          <w:sz w:val="24"/>
        </w:rPr>
        <w:t>行动计划</w:t>
      </w:r>
      <w:r>
        <w:rPr>
          <w:rFonts w:hint="eastAsia"/>
        </w:rPr>
        <w:t xml:space="preserve"> （尽量具体、不限字数；如字数较多可作为附件）</w:t>
      </w:r>
    </w:p>
    <w:p>
      <w:pPr>
        <w:ind w:right="71"/>
        <w:jc w:val="left"/>
        <w:rPr>
          <w:rFonts w:hint="eastAsia" w:ascii="宋体" w:hAnsi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（1）开展相关文献研究，</w:t>
      </w:r>
      <w:r>
        <w:rPr>
          <w:rFonts w:hint="eastAsia" w:ascii="宋体" w:hAnsi="宋体"/>
          <w:bCs/>
          <w:sz w:val="24"/>
          <w:lang w:eastAsia="zh-CN"/>
        </w:rPr>
        <w:t>学习相关材料，完成文献综述，形成一定的概念。</w:t>
      </w:r>
    </w:p>
    <w:p>
      <w:pPr>
        <w:ind w:right="71"/>
        <w:jc w:val="left"/>
        <w:rPr>
          <w:rFonts w:hint="eastAsia" w:ascii="宋体" w:hAnsi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lang w:eastAsia="zh-CN"/>
        </w:rPr>
        <w:t>）完成实验班学生阅读能力前测，为展开分级阅读收集数据，并根据学生实际水平选择相应的课外阅读内容。</w:t>
      </w:r>
    </w:p>
    <w:p>
      <w:pPr>
        <w:ind w:right="71"/>
        <w:jc w:val="left"/>
        <w:rPr>
          <w:rFonts w:hint="eastAsia" w:ascii="宋体" w:hAnsi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lang w:eastAsia="zh-CN"/>
        </w:rPr>
        <w:t>）完成子课题方案的撰写。</w:t>
      </w:r>
    </w:p>
    <w:p>
      <w:pPr>
        <w:ind w:right="71"/>
        <w:jc w:val="left"/>
        <w:rPr>
          <w:rFonts w:hint="eastAsia" w:ascii="宋体" w:hAnsi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lang w:eastAsia="zh-CN"/>
        </w:rPr>
        <w:t>）写好阶段性计划并按照计划扎实开展行动研究。具体安排如下：</w:t>
      </w:r>
    </w:p>
    <w:p>
      <w:pPr>
        <w:ind w:right="71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·确保阅读时间：研究初期，</w:t>
      </w:r>
      <w:r>
        <w:rPr>
          <w:rFonts w:hint="eastAsia" w:ascii="宋体" w:hAnsi="宋体"/>
          <w:bCs/>
          <w:sz w:val="24"/>
          <w:lang w:val="en-US" w:eastAsia="zh-CN"/>
        </w:rPr>
        <w:t>每周保证一课时的课外阅读指导课；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逐步采用SSR形式推进课外阅读，每月一次读书交流会；让学生将英语课外阅读变成一种自然的需要。</w:t>
      </w:r>
    </w:p>
    <w:p>
      <w:pPr>
        <w:ind w:right="71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·构建阅读方式：校内师生共读、校外亲子共读；自读与共读相结合、线上与线下相结合、必修与选修相结合；采用点面结合、多方促进的方式全面推进英语课外阅读。</w:t>
      </w:r>
    </w:p>
    <w:p>
      <w:pPr>
        <w:ind w:right="71"/>
        <w:jc w:val="left"/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·搭建多元平台：采用读书交流会、故事汇、英语节、英语角给学生提供展示的平台，体会成功的喜悦，进一步激发英语课外阅读的兴趣。</w:t>
      </w:r>
    </w:p>
    <w:p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数据收集</w:t>
      </w:r>
    </w:p>
    <w:p>
      <w:pPr>
        <w:ind w:right="71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（1）测试（接受研究院在线测试）</w:t>
      </w:r>
    </w:p>
    <w:p>
      <w:pPr>
        <w:ind w:right="71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（2）重点个案访谈/观察、阅读记载表、阅读活动教案/课件、教师反思日志、学生读后感/读书日志.、相关照片、音频视频、聊天记录...）</w:t>
      </w:r>
    </w:p>
    <w:p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b/>
          <w:sz w:val="24"/>
        </w:rPr>
        <w:t>预期成果形式</w:t>
      </w:r>
    </w:p>
    <w:p>
      <w:pPr>
        <w:ind w:right="71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中期（2018年5-6月）：中期报告；相关论文；代表性课例；学生系列活动材料。</w:t>
      </w:r>
    </w:p>
    <w:p>
      <w:pPr>
        <w:ind w:right="71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结题（2019年5-6月）：结题报告；相关论文；代表性课例；学生系列活动材料。</w:t>
      </w:r>
    </w:p>
    <w:p>
      <w:pPr>
        <w:ind w:right="71"/>
        <w:jc w:val="lef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      </w:t>
      </w:r>
    </w:p>
    <w:p/>
    <w:p/>
    <w:p/>
    <w:p>
      <w:r>
        <w:rPr>
          <w:rFonts w:hint="eastAsia"/>
        </w:rPr>
        <w:t xml:space="preserve">          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C53E"/>
    <w:multiLevelType w:val="singleLevel"/>
    <w:tmpl w:val="5908C53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0948B4"/>
    <w:multiLevelType w:val="singleLevel"/>
    <w:tmpl w:val="590948B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82240"/>
    <w:rsid w:val="0026426B"/>
    <w:rsid w:val="00474B41"/>
    <w:rsid w:val="0053799D"/>
    <w:rsid w:val="007E1437"/>
    <w:rsid w:val="008D7A75"/>
    <w:rsid w:val="00B94394"/>
    <w:rsid w:val="01E33E5C"/>
    <w:rsid w:val="068D4DFB"/>
    <w:rsid w:val="0D1A12E5"/>
    <w:rsid w:val="0D4F112B"/>
    <w:rsid w:val="0D6E26AC"/>
    <w:rsid w:val="109006C6"/>
    <w:rsid w:val="115B131C"/>
    <w:rsid w:val="11672FA3"/>
    <w:rsid w:val="1AFB4A03"/>
    <w:rsid w:val="1CB86DB2"/>
    <w:rsid w:val="1DB0428B"/>
    <w:rsid w:val="20F57D10"/>
    <w:rsid w:val="22AA3280"/>
    <w:rsid w:val="3D3451AE"/>
    <w:rsid w:val="477A2D3D"/>
    <w:rsid w:val="478C1189"/>
    <w:rsid w:val="4B201416"/>
    <w:rsid w:val="549F215E"/>
    <w:rsid w:val="55A05031"/>
    <w:rsid w:val="55A20DA5"/>
    <w:rsid w:val="56E57929"/>
    <w:rsid w:val="597C1866"/>
    <w:rsid w:val="59A10583"/>
    <w:rsid w:val="5CB72D31"/>
    <w:rsid w:val="5E3A4D5D"/>
    <w:rsid w:val="5F0D1449"/>
    <w:rsid w:val="5FCA5433"/>
    <w:rsid w:val="607C446C"/>
    <w:rsid w:val="66C15108"/>
    <w:rsid w:val="70CC5855"/>
    <w:rsid w:val="74C82240"/>
    <w:rsid w:val="7674388E"/>
    <w:rsid w:val="7BD311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183</Words>
  <Characters>1047</Characters>
  <Lines>8</Lines>
  <Paragraphs>2</Paragraphs>
  <ScaleCrop>false</ScaleCrop>
  <LinksUpToDate>false</LinksUpToDate>
  <CharactersWithSpaces>1228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2017-05-03T14:06:00Z</dcterms:created>
  <dc:creator>lxh</dc:creator>
  <cp:lastModifiedBy>Administrator</cp:lastModifiedBy>
  <cp:lastPrinted>2017-05-03T06:53:00Z</cp:lastPrinted>
  <dcterms:modified xsi:type="dcterms:W3CDTF">2017-05-07T09:00:38Z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