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Theme="minorEastAsia"/>
          <w:szCs w:val="21"/>
          <w:u w:val="single"/>
        </w:rPr>
      </w:pPr>
      <w:r>
        <w:rPr>
          <w:rFonts w:hint="eastAsia" w:ascii="仿宋_GB2312" w:eastAsiaTheme="minorEastAsia"/>
          <w:szCs w:val="21"/>
          <w:u w:val="single"/>
        </w:rPr>
        <w:t xml:space="preserve">    </w:t>
      </w:r>
      <w:r>
        <w:rPr>
          <w:rFonts w:hint="eastAsia" w:ascii="仿宋_GB2312" w:eastAsia="仿宋_GB2312"/>
          <w:szCs w:val="21"/>
          <w:u w:val="single"/>
        </w:rPr>
        <w:t xml:space="preserve"> </w:t>
      </w:r>
      <w:r>
        <w:rPr>
          <w:rFonts w:hint="eastAsia" w:ascii="仿宋_GB2312" w:eastAsiaTheme="minorEastAsia"/>
          <w:szCs w:val="21"/>
          <w:u w:val="singl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u w:val="single"/>
        </w:rPr>
        <w:t>利用生态环境资源开展幼儿表演游戏的实践研究</w:t>
      </w:r>
      <w:r>
        <w:rPr>
          <w:rFonts w:hint="eastAsia" w:ascii="仿宋_GB2312" w:eastAsia="仿宋_GB2312"/>
          <w:szCs w:val="21"/>
          <w:u w:val="single"/>
        </w:rPr>
        <w:t xml:space="preserve">      </w:t>
      </w:r>
      <w:r>
        <w:rPr>
          <w:rFonts w:hint="eastAsia" w:ascii="仿宋_GB2312" w:eastAsiaTheme="minorEastAsia"/>
          <w:szCs w:val="21"/>
          <w:u w:val="single"/>
        </w:rPr>
        <w:t xml:space="preserve"> </w:t>
      </w:r>
    </w:p>
    <w:p>
      <w:pPr>
        <w:jc w:val="center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课题研究活动情况登记表</w:t>
      </w:r>
    </w:p>
    <w:p>
      <w:pPr>
        <w:jc w:val="center"/>
        <w:rPr>
          <w:rFonts w:ascii="仿宋_GB2312" w:eastAsiaTheme="minorEastAsia"/>
          <w:sz w:val="18"/>
        </w:rPr>
      </w:pPr>
    </w:p>
    <w:tbl>
      <w:tblPr>
        <w:tblStyle w:val="7"/>
        <w:tblW w:w="8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44"/>
        <w:gridCol w:w="10"/>
        <w:gridCol w:w="1383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Theme="minorEastAsia"/>
              </w:rPr>
              <w:t>2017.4.17</w:t>
            </w:r>
          </w:p>
        </w:tc>
        <w:tc>
          <w:tcPr>
            <w:tcW w:w="1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地点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Theme="minorEastAsia"/>
              </w:rPr>
              <w:t>二楼会议室</w:t>
            </w:r>
          </w:p>
        </w:tc>
        <w:tc>
          <w:tcPr>
            <w:tcW w:w="13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主持人</w:t>
            </w:r>
          </w:p>
        </w:tc>
        <w:tc>
          <w:tcPr>
            <w:tcW w:w="1525" w:type="dxa"/>
          </w:tcPr>
          <w:p>
            <w:pPr>
              <w:spacing w:line="480" w:lineRule="exact"/>
              <w:jc w:val="center"/>
              <w:rPr>
                <w:rFonts w:ascii="仿宋_GB2312" w:eastAsiaTheme="minorEastAsia"/>
                <w:szCs w:val="21"/>
              </w:rPr>
            </w:pPr>
            <w:r>
              <w:rPr>
                <w:rFonts w:hint="eastAsia" w:ascii="仿宋_GB2312" w:eastAsiaTheme="minorEastAsia"/>
                <w:szCs w:val="21"/>
              </w:rPr>
              <w:t>仇燕华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参加对象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Theme="minorEastAsia"/>
                <w:szCs w:val="21"/>
              </w:rPr>
            </w:pPr>
            <w:r>
              <w:rPr>
                <w:rFonts w:hint="eastAsia" w:ascii="仿宋_GB2312" w:eastAsiaTheme="minorEastAsia"/>
                <w:szCs w:val="21"/>
              </w:rPr>
              <w:t>仇燕华、王宝秀、史银华、宋丹枫、洑建秋、羊竹倩、赵红霞、王文姣</w:t>
            </w:r>
          </w:p>
          <w:p>
            <w:pPr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152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Theme="minorEastAsia"/>
                <w:szCs w:val="21"/>
              </w:rPr>
            </w:pPr>
            <w:r>
              <w:rPr>
                <w:rFonts w:hint="eastAsia" w:ascii="仿宋_GB2312" w:eastAsiaTheme="minorEastAsia"/>
                <w:szCs w:val="21"/>
              </w:rPr>
              <w:t>年级组研讨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453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研究的目的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="仿宋_GB2312"/>
              </w:rPr>
              <w:t>（范围、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="仿宋_GB2312"/>
              </w:rPr>
              <w:t>方法）</w:t>
            </w:r>
          </w:p>
        </w:tc>
        <w:tc>
          <w:tcPr>
            <w:tcW w:w="7268" w:type="dxa"/>
            <w:gridSpan w:val="6"/>
          </w:tcPr>
          <w:p>
            <w:pPr>
              <w:spacing w:line="480" w:lineRule="exact"/>
              <w:jc w:val="left"/>
              <w:rPr>
                <w:rFonts w:hint="eastAsia" w:ascii="仿宋_GB2312" w:eastAsiaTheme="minorEastAsia"/>
                <w:szCs w:val="21"/>
              </w:rPr>
            </w:pPr>
            <w:r>
              <w:rPr>
                <w:rFonts w:hint="eastAsia" w:ascii="仿宋_GB2312" w:eastAsiaTheme="minorEastAsia"/>
                <w:szCs w:val="21"/>
              </w:rPr>
              <w:t>了解表演游戏户外自然环境资源的开发和利用。</w:t>
            </w:r>
          </w:p>
          <w:p>
            <w:pPr>
              <w:spacing w:line="480" w:lineRule="exact"/>
              <w:jc w:val="left"/>
              <w:rPr>
                <w:rFonts w:ascii="仿宋_GB2312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</w:tcPr>
          <w:p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内</w:t>
            </w:r>
          </w:p>
          <w:p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容</w:t>
            </w:r>
          </w:p>
          <w:p>
            <w:pPr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6"/>
            <w:vAlign w:val="center"/>
          </w:tcPr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firstLine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各班选择表演游戏内容及户外适合表演的场地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仇：大一班的表演游戏是《猫和老鼠》，我们选择12号场地，跟自主游戏开放相结合。轮胎适合做老鼠逃窜的道具。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史：大二班的表演游戏是《野猫的城市》，我们选择9号场地，轮胎可以涂色做斑马线 ，并且可以重叠做马桶。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羊：大三班的表演游戏是《赏花大会》，幼儿自己选择了12号场地，菜地过于复杂，不是很适合，孩子一眼就选中了山坡。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王：大四班的表演游戏是《桃树下的小白兔》，我们选择11号场地——种植园。海棠树粉色花瓣，适合做桃树。 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firstLine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分析并对各班的场地选择提出合理化建议和调整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大一班建议：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仇：我们《猫和老鼠》有一段是需要进行家里表演的，家里的场景怎么办？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史：你们可以利用娃娃家的沙发进行布置。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洑：你们可以用大盒子做沙发，KT板做窗户。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仇：我们的河可以用纱来做。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</w:p>
          <w:p>
            <w:pPr>
              <w:pStyle w:val="11"/>
              <w:adjustRightInd w:val="0"/>
              <w:snapToGrid w:val="0"/>
              <w:spacing w:line="480" w:lineRule="exact"/>
              <w:ind w:left="420" w:firstLine="0" w:firstLineChars="0"/>
              <w:jc w:val="left"/>
              <w:rPr>
                <w:rFonts w:hint="eastAsia" w:ascii="仿宋_GB2312" w:eastAsia="仿宋_GB2312"/>
              </w:rPr>
            </w:pPr>
          </w:p>
          <w:p>
            <w:pPr>
              <w:pStyle w:val="11"/>
              <w:adjustRightInd w:val="0"/>
              <w:snapToGrid w:val="0"/>
              <w:spacing w:line="480" w:lineRule="exact"/>
              <w:ind w:left="42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大二班建议：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仇： 可以换一个场地做表演场地。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王：7号场地鸡鸭棚以及周围可以做你故事中乡下的场景。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洑：滑滑梯可以做高楼、跑道等做马路，正好城乡结合。</w:t>
            </w:r>
          </w:p>
          <w:p>
            <w:pPr>
              <w:pStyle w:val="11"/>
              <w:adjustRightInd w:val="0"/>
              <w:snapToGrid w:val="0"/>
              <w:spacing w:line="480" w:lineRule="exact"/>
              <w:ind w:left="420" w:firstLine="0" w:firstLine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大三班建议：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羊：树与树之间的距离 比较适合进行游戏。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洑：在树下“喝酒”表演节目，乐趣非常多，一组表演 一组欣赏。</w:t>
            </w:r>
          </w:p>
          <w:p>
            <w:pPr>
              <w:pStyle w:val="11"/>
              <w:adjustRightInd w:val="0"/>
              <w:snapToGrid w:val="0"/>
              <w:spacing w:line="480" w:lineRule="exact"/>
              <w:ind w:left="420" w:firstLine="0" w:firstLine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大四班建议：</w:t>
            </w:r>
          </w:p>
          <w:p>
            <w:pPr>
              <w:pStyle w:val="11"/>
              <w:adjustRightInd w:val="0"/>
              <w:snapToGrid w:val="0"/>
              <w:spacing w:line="480" w:lineRule="exact"/>
              <w:ind w:left="420" w:firstLine="0" w:firstLine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仇：种植园地方比较小 游戏施展不开。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洑：用粉色的纱盖在树上，沾满桃花 可以做桃树。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firstLine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各班表演游戏场地的场景布置。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仇：我们的场景要怎么来进行布置呢？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赵：利用户外现有的材料 结合角色、建构进行表演游戏。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史：也可以利用教师里的材料进行场地布置 进行表演。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大一：利用生活中现有的材料：轮胎、沙发、砖头进行布置。</w:t>
            </w:r>
          </w:p>
          <w:p>
            <w:pPr>
              <w:pStyle w:val="11"/>
              <w:spacing w:line="48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大二：根据故事内容，选取幼儿园比较凸显城乡结合的地方进行表演。</w:t>
            </w:r>
          </w:p>
          <w:p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大三：幼儿自主选择选山坡，树与树之间的距离较近，以樟树为主要创设场景。</w:t>
            </w:r>
          </w:p>
          <w:p>
            <w:pPr>
              <w:pStyle w:val="11"/>
              <w:spacing w:line="480" w:lineRule="exact"/>
              <w:ind w:left="420" w:firstLine="0" w:firstLineChars="0"/>
            </w:pPr>
            <w:r>
              <w:rPr>
                <w:rFonts w:hint="eastAsia"/>
              </w:rPr>
              <w:t>大四：选取种植园，利用海棠树当作桃花树。调整后改为生态园。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</w:tc>
        <w:tc>
          <w:tcPr>
            <w:tcW w:w="7268" w:type="dxa"/>
            <w:gridSpan w:val="6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从室内走向室外的价值：</w:t>
            </w:r>
          </w:p>
          <w:p>
            <w:pPr>
              <w:spacing w:line="480" w:lineRule="exact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1.有效利用生态环境资源，突显表演游戏特色和亮点。</w:t>
            </w:r>
          </w:p>
          <w:p>
            <w:pPr>
              <w:spacing w:line="480" w:lineRule="exact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2.环境与故事中的场景更加的相似，幼儿的兴趣更加浓厚。</w:t>
            </w:r>
          </w:p>
          <w:p>
            <w:pPr>
              <w:spacing w:line="480" w:lineRule="exact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3.表演空间更加广阔了，释放幼儿的天性。</w:t>
            </w:r>
          </w:p>
          <w:p>
            <w:pPr>
              <w:spacing w:line="480" w:lineRule="exact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4.减轻孩子的视觉疲劳，给予孩子新环境的刺激，更加自主愉悦地游戏。</w:t>
            </w: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对教师的价值：</w:t>
            </w:r>
          </w:p>
          <w:p>
            <w:pPr>
              <w:spacing w:line="480" w:lineRule="exact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1.减轻教师的负担，可以直接利用生态环境的资源。</w:t>
            </w:r>
          </w:p>
          <w:p>
            <w:pPr>
              <w:spacing w:line="480" w:lineRule="exact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2.教师也融入到自然环境中，心情愉悦。</w:t>
            </w:r>
          </w:p>
          <w:p>
            <w:pPr>
              <w:spacing w:line="48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Theme="majorEastAsia" w:hAnsiTheme="majorEastAsia" w:eastAsiaTheme="majorEastAsia"/>
              </w:rPr>
              <w:t>3.教师的观察会更加地有效真实。</w:t>
            </w:r>
          </w:p>
        </w:tc>
      </w:tr>
    </w:tbl>
    <w:p>
      <w:pPr>
        <w:jc w:val="center"/>
        <w:rPr>
          <w:rFonts w:ascii="仿宋_GB2312" w:eastAsiaTheme="minorEastAsia"/>
          <w:sz w:val="24"/>
        </w:rPr>
      </w:pPr>
    </w:p>
    <w:p>
      <w:pPr>
        <w:jc w:val="center"/>
      </w:pPr>
      <w:r>
        <w:rPr>
          <w:rFonts w:hint="eastAsia" w:ascii="仿宋_GB2312" w:eastAsiaTheme="minorEastAsia"/>
          <w:sz w:val="24"/>
        </w:rPr>
        <w:t xml:space="preserve">                            </w:t>
      </w:r>
      <w:r>
        <w:rPr>
          <w:rFonts w:hint="eastAsia" w:ascii="仿宋_GB2312" w:eastAsia="仿宋_GB2312"/>
          <w:sz w:val="24"/>
        </w:rPr>
        <w:t>填表人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Theme="minorEastAsia"/>
          <w:sz w:val="24"/>
          <w:u w:val="single"/>
        </w:rPr>
        <w:t xml:space="preserve"> 宋丹枫   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</w:p>
    <w:p/>
    <w:p/>
    <w:sectPr>
      <w:footerReference r:id="rId3" w:type="default"/>
      <w:footerReference r:id="rId4" w:type="even"/>
      <w:pgSz w:w="11907" w:h="16840"/>
      <w:pgMar w:top="567" w:right="1077" w:bottom="567" w:left="1077" w:header="851" w:footer="1304" w:gutter="0"/>
      <w:pgNumType w:fmt="numberInDash"/>
      <w:cols w:space="720" w:num="1"/>
      <w:docGrid w:type="line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A5C2E"/>
    <w:multiLevelType w:val="multilevel"/>
    <w:tmpl w:val="387A5C2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13AA"/>
    <w:rsid w:val="0004012F"/>
    <w:rsid w:val="00053D26"/>
    <w:rsid w:val="00055628"/>
    <w:rsid w:val="00073265"/>
    <w:rsid w:val="00091344"/>
    <w:rsid w:val="00096FE1"/>
    <w:rsid w:val="000F5D98"/>
    <w:rsid w:val="00193D0F"/>
    <w:rsid w:val="00205097"/>
    <w:rsid w:val="00274119"/>
    <w:rsid w:val="00282A5A"/>
    <w:rsid w:val="00284897"/>
    <w:rsid w:val="002E6D2A"/>
    <w:rsid w:val="002F4379"/>
    <w:rsid w:val="00384980"/>
    <w:rsid w:val="003A4CE9"/>
    <w:rsid w:val="003D7866"/>
    <w:rsid w:val="00486D0A"/>
    <w:rsid w:val="004F15FA"/>
    <w:rsid w:val="004F650E"/>
    <w:rsid w:val="00523FAB"/>
    <w:rsid w:val="00577766"/>
    <w:rsid w:val="005F3D12"/>
    <w:rsid w:val="0063215B"/>
    <w:rsid w:val="006A43AB"/>
    <w:rsid w:val="0073507B"/>
    <w:rsid w:val="00745D26"/>
    <w:rsid w:val="007513AA"/>
    <w:rsid w:val="007B227F"/>
    <w:rsid w:val="007E3B41"/>
    <w:rsid w:val="007F317C"/>
    <w:rsid w:val="00801619"/>
    <w:rsid w:val="00805F16"/>
    <w:rsid w:val="008B5DC9"/>
    <w:rsid w:val="008E63AA"/>
    <w:rsid w:val="008F5295"/>
    <w:rsid w:val="00907333"/>
    <w:rsid w:val="00956E49"/>
    <w:rsid w:val="00970EDB"/>
    <w:rsid w:val="0097338A"/>
    <w:rsid w:val="009A0883"/>
    <w:rsid w:val="00A76646"/>
    <w:rsid w:val="00AA0C3A"/>
    <w:rsid w:val="00AD2B9A"/>
    <w:rsid w:val="00AD6A5C"/>
    <w:rsid w:val="00B42A6B"/>
    <w:rsid w:val="00B62C78"/>
    <w:rsid w:val="00B97973"/>
    <w:rsid w:val="00BA7F32"/>
    <w:rsid w:val="00C1079D"/>
    <w:rsid w:val="00CB2A5B"/>
    <w:rsid w:val="00D16B80"/>
    <w:rsid w:val="00D965D4"/>
    <w:rsid w:val="00DD5114"/>
    <w:rsid w:val="00DE3342"/>
    <w:rsid w:val="00DF565C"/>
    <w:rsid w:val="00E135E7"/>
    <w:rsid w:val="00E2642D"/>
    <w:rsid w:val="00ED41AB"/>
    <w:rsid w:val="00F53B2A"/>
    <w:rsid w:val="00F909CA"/>
    <w:rsid w:val="00FE31AC"/>
    <w:rsid w:val="50951D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黑体" w:hAnsi="Verdana" w:eastAsia="黑体"/>
      <w:b/>
      <w:kern w:val="0"/>
      <w:sz w:val="36"/>
      <w:szCs w:val="36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 Char Char Char Char Char"/>
    <w:basedOn w:val="1"/>
    <w:uiPriority w:val="0"/>
    <w:pPr>
      <w:widowControl/>
      <w:spacing w:after="160" w:line="240" w:lineRule="exact"/>
      <w:ind w:firstLine="602" w:firstLineChars="250"/>
      <w:jc w:val="center"/>
    </w:pPr>
    <w:rPr>
      <w:rFonts w:ascii="黑体" w:hAnsi="Verdana" w:eastAsia="黑体"/>
      <w:b/>
      <w:kern w:val="0"/>
      <w:sz w:val="36"/>
      <w:szCs w:val="36"/>
    </w:rPr>
  </w:style>
  <w:style w:type="character" w:customStyle="1" w:styleId="9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0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999</Characters>
  <Lines>8</Lines>
  <Paragraphs>2</Paragraphs>
  <TotalTime>0</TotalTime>
  <ScaleCrop>false</ScaleCrop>
  <LinksUpToDate>false</LinksUpToDate>
  <CharactersWithSpaces>1172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2015-12-10T05:50:00Z</dcterms:created>
  <dc:creator>USER</dc:creator>
  <cp:lastModifiedBy>Administrator</cp:lastModifiedBy>
  <dcterms:modified xsi:type="dcterms:W3CDTF">2017-04-17T06:37:24Z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