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0"/>
          <w:szCs w:val="30"/>
        </w:rPr>
      </w:pPr>
      <w:r>
        <w:rPr>
          <w:rFonts w:hint="eastAsia"/>
          <w:b/>
          <w:bCs/>
          <w:sz w:val="30"/>
          <w:szCs w:val="30"/>
        </w:rPr>
        <w:t>《基于园本的童谣系列活动的开发与实践研究》课题观察记录</w:t>
      </w:r>
    </w:p>
    <w:tbl>
      <w:tblPr>
        <w:tblStyle w:val="3"/>
        <w:tblW w:w="8866"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740"/>
        <w:gridCol w:w="1065"/>
        <w:gridCol w:w="1245"/>
        <w:gridCol w:w="1545"/>
        <w:gridCol w:w="1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515" w:type="dxa"/>
            <w:vAlign w:val="center"/>
          </w:tcPr>
          <w:p>
            <w:pPr>
              <w:jc w:val="center"/>
              <w:rPr>
                <w:b/>
                <w:bCs/>
              </w:rPr>
            </w:pPr>
            <w:r>
              <w:rPr>
                <w:rFonts w:hint="eastAsia"/>
                <w:b/>
                <w:bCs/>
              </w:rPr>
              <w:t>观察对象</w:t>
            </w:r>
          </w:p>
        </w:tc>
        <w:tc>
          <w:tcPr>
            <w:tcW w:w="1740" w:type="dxa"/>
            <w:vAlign w:val="center"/>
          </w:tcPr>
          <w:p>
            <w:pPr>
              <w:rPr>
                <w:rFonts w:hint="eastAsia" w:eastAsia="宋体"/>
                <w:lang w:eastAsia="zh-CN"/>
              </w:rPr>
            </w:pPr>
            <w:r>
              <w:rPr>
                <w:rFonts w:hint="eastAsia"/>
                <w:lang w:eastAsia="zh-CN"/>
              </w:rPr>
              <w:t>第一组粉衣幼儿</w:t>
            </w:r>
          </w:p>
        </w:tc>
        <w:tc>
          <w:tcPr>
            <w:tcW w:w="1065" w:type="dxa"/>
            <w:vAlign w:val="center"/>
          </w:tcPr>
          <w:p>
            <w:pPr>
              <w:jc w:val="center"/>
            </w:pPr>
            <w:r>
              <w:rPr>
                <w:rFonts w:hint="eastAsia"/>
                <w:b/>
                <w:bCs/>
              </w:rPr>
              <w:t>班级</w:t>
            </w:r>
          </w:p>
        </w:tc>
        <w:tc>
          <w:tcPr>
            <w:tcW w:w="1245" w:type="dxa"/>
            <w:vAlign w:val="center"/>
          </w:tcPr>
          <w:p>
            <w:pPr>
              <w:jc w:val="center"/>
            </w:pPr>
            <w:r>
              <w:rPr>
                <w:rFonts w:hint="eastAsia"/>
              </w:rPr>
              <w:t>中</w:t>
            </w:r>
            <w:r>
              <w:rPr>
                <w:rFonts w:hint="eastAsia"/>
                <w:lang w:val="en-US" w:eastAsia="zh-CN"/>
              </w:rPr>
              <w:t>6</w:t>
            </w:r>
            <w:r>
              <w:rPr>
                <w:rFonts w:hint="eastAsia"/>
              </w:rPr>
              <w:t>班</w:t>
            </w:r>
          </w:p>
        </w:tc>
        <w:tc>
          <w:tcPr>
            <w:tcW w:w="1545" w:type="dxa"/>
            <w:vAlign w:val="center"/>
          </w:tcPr>
          <w:p>
            <w:pPr>
              <w:jc w:val="center"/>
              <w:rPr>
                <w:b/>
                <w:bCs/>
              </w:rPr>
            </w:pPr>
            <w:r>
              <w:rPr>
                <w:rFonts w:hint="eastAsia"/>
                <w:b/>
                <w:bCs/>
              </w:rPr>
              <w:t>时间</w:t>
            </w:r>
          </w:p>
        </w:tc>
        <w:tc>
          <w:tcPr>
            <w:tcW w:w="1756" w:type="dxa"/>
            <w:vAlign w:val="center"/>
          </w:tcPr>
          <w:p>
            <w:pPr>
              <w:jc w:val="center"/>
            </w:pPr>
            <w:r>
              <w:t>2016.1</w:t>
            </w:r>
            <w:r>
              <w:rPr>
                <w:rFonts w:hint="eastAsia"/>
                <w:lang w:val="en-US" w:eastAsia="zh-CN"/>
              </w:rPr>
              <w:t>1</w:t>
            </w:r>
            <w: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1515" w:type="dxa"/>
            <w:vAlign w:val="center"/>
          </w:tcPr>
          <w:p>
            <w:pPr>
              <w:jc w:val="center"/>
              <w:rPr>
                <w:b/>
                <w:bCs/>
              </w:rPr>
            </w:pPr>
            <w:r>
              <w:rPr>
                <w:rFonts w:hint="eastAsia"/>
                <w:b/>
                <w:bCs/>
              </w:rPr>
              <w:t>观察课题内容</w:t>
            </w:r>
          </w:p>
        </w:tc>
        <w:tc>
          <w:tcPr>
            <w:tcW w:w="4050" w:type="dxa"/>
            <w:gridSpan w:val="3"/>
            <w:vAlign w:val="center"/>
          </w:tcPr>
          <w:p>
            <w:pPr>
              <w:jc w:val="center"/>
            </w:pPr>
            <w:r>
              <w:rPr>
                <w:rFonts w:hint="eastAsia"/>
              </w:rPr>
              <w:t>童谣《</w:t>
            </w:r>
            <w:r>
              <w:rPr>
                <w:rFonts w:hint="eastAsia"/>
                <w:lang w:eastAsia="zh-CN"/>
              </w:rPr>
              <w:t>亮馍馍</w:t>
            </w:r>
            <w:r>
              <w:rPr>
                <w:rFonts w:hint="eastAsia"/>
              </w:rPr>
              <w:t>》</w:t>
            </w:r>
          </w:p>
        </w:tc>
        <w:tc>
          <w:tcPr>
            <w:tcW w:w="1545" w:type="dxa"/>
            <w:vAlign w:val="center"/>
          </w:tcPr>
          <w:p>
            <w:pPr>
              <w:jc w:val="center"/>
              <w:rPr>
                <w:b/>
                <w:bCs/>
              </w:rPr>
            </w:pPr>
            <w:r>
              <w:rPr>
                <w:rFonts w:hint="eastAsia"/>
                <w:b/>
                <w:bCs/>
              </w:rPr>
              <w:t>观察者</w:t>
            </w:r>
          </w:p>
        </w:tc>
        <w:tc>
          <w:tcPr>
            <w:tcW w:w="1756" w:type="dxa"/>
          </w:tcPr>
          <w:p>
            <w:pPr>
              <w:rPr>
                <w:rFonts w:hint="eastAsia" w:eastAsia="宋体"/>
                <w:lang w:val="en-US" w:eastAsia="zh-CN"/>
              </w:rPr>
            </w:pPr>
            <w:r>
              <w:rPr>
                <w:rFonts w:hint="eastAsia"/>
                <w:lang w:val="en-US" w:eastAsia="zh-CN"/>
              </w:rPr>
              <w:t>黄琴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5" w:hRule="atLeast"/>
        </w:trPr>
        <w:tc>
          <w:tcPr>
            <w:tcW w:w="1515" w:type="dxa"/>
            <w:vAlign w:val="center"/>
          </w:tcPr>
          <w:p>
            <w:pPr>
              <w:jc w:val="center"/>
              <w:rPr>
                <w:b/>
                <w:bCs/>
              </w:rPr>
            </w:pPr>
            <w:r>
              <w:rPr>
                <w:rFonts w:hint="eastAsia"/>
                <w:b/>
                <w:bCs/>
              </w:rPr>
              <w:t>过程实录</w:t>
            </w:r>
          </w:p>
          <w:p>
            <w:pPr>
              <w:jc w:val="center"/>
              <w:rPr>
                <w:b/>
                <w:bCs/>
              </w:rPr>
            </w:pPr>
            <w:r>
              <w:rPr>
                <w:rFonts w:hint="eastAsia"/>
                <w:b/>
                <w:bCs/>
              </w:rPr>
              <w:t>即</w:t>
            </w:r>
          </w:p>
          <w:p>
            <w:pPr>
              <w:jc w:val="center"/>
              <w:rPr>
                <w:b/>
                <w:bCs/>
              </w:rPr>
            </w:pPr>
            <w:r>
              <w:rPr>
                <w:b/>
                <w:bCs/>
              </w:rPr>
              <w:t>(</w:t>
            </w:r>
            <w:r>
              <w:rPr>
                <w:rFonts w:hint="eastAsia"/>
                <w:b/>
                <w:bCs/>
              </w:rPr>
              <w:t>精彩片段</w:t>
            </w:r>
            <w:r>
              <w:rPr>
                <w:b/>
                <w:bCs/>
              </w:rPr>
              <w:t>——</w:t>
            </w:r>
            <w:r>
              <w:rPr>
                <w:rFonts w:hint="eastAsia"/>
                <w:b/>
                <w:bCs/>
              </w:rPr>
              <w:t>指向幼儿</w:t>
            </w:r>
            <w:r>
              <w:rPr>
                <w:b/>
                <w:bCs/>
              </w:rPr>
              <w:t>)</w:t>
            </w:r>
          </w:p>
          <w:p>
            <w:pPr>
              <w:jc w:val="center"/>
            </w:pPr>
            <w:r>
              <w:rPr>
                <w:rFonts w:hint="eastAsia"/>
              </w:rPr>
              <w:t>（可附照片）</w:t>
            </w:r>
          </w:p>
        </w:tc>
        <w:tc>
          <w:tcPr>
            <w:tcW w:w="7351" w:type="dxa"/>
            <w:gridSpan w:val="5"/>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eastAsia="宋体"/>
                <w:sz w:val="24"/>
                <w:szCs w:val="24"/>
                <w:lang w:val="en-US" w:eastAsia="zh-CN"/>
              </w:rPr>
            </w:pPr>
            <w:r>
              <w:rPr>
                <w:rFonts w:hint="eastAsia"/>
                <w:lang w:val="en-US" w:eastAsia="zh-CN"/>
              </w:rPr>
              <w:t xml:space="preserve">    </w:t>
            </w:r>
            <w:r>
              <w:rPr>
                <w:rFonts w:hint="eastAsia"/>
                <w:sz w:val="24"/>
                <w:szCs w:val="24"/>
                <w:lang w:val="en-US" w:eastAsia="zh-CN"/>
              </w:rPr>
              <w:t>徐老师根据幼儿的表达出示相关图谱，引导幼儿完整的根据图片内容进行朗诵活动，第一组幼儿站起来4个男孩子2个女孩眼睛都随着徐老师手指的方向进行朗诵，粉红衣服的女孩在普通话朗诵的时候能够比较大声的进行朗诵，而且朗诵的比较完整，几乎能供自己一个人独立进行朗诵，但是在徐老师第二遍要求用常州话来进行朗诵的时候变现完全不一样，看上去不那么自信，声音时高时低，而且还断断续续的。眼睛没有盯着图片而是看着徐老师还不时的游离。</w:t>
            </w:r>
          </w:p>
          <w:p>
            <w:r>
              <w:rPr>
                <w:rFonts w:ascii="宋体" w:hAnsi="宋体" w:eastAsia="宋体" w:cs="宋体"/>
                <w:kern w:val="0"/>
                <w:sz w:val="24"/>
                <w:szCs w:val="24"/>
                <w:lang w:val="en-US" w:eastAsia="zh-CN" w:bidi="ar"/>
              </w:rPr>
              <w:pict>
                <v:shape id="_x0000_s1027" o:spid="_x0000_s1027" o:spt="75" alt="IMG_256" type="#_x0000_t75" style="position:absolute;left:0pt;margin-left:177pt;margin-top:12.6pt;height:131.1pt;width:174.65pt;mso-wrap-distance-bottom:0pt;mso-wrap-distance-left:9pt;mso-wrap-distance-right:9pt;mso-wrap-distance-top:0pt;z-index:251659264;mso-width-relative:page;mso-height-relative:page;" filled="f" o:preferrelative="t" stroked="f" coordsize="21600,21600">
                  <v:path/>
                  <v:fill on="f" focussize="0,0"/>
                  <v:stroke on="f"/>
                  <v:imagedata r:id="rId4" o:title="IMG_256"/>
                  <o:lock v:ext="edit" aspectratio="t"/>
                  <w10:wrap type="square"/>
                </v:shape>
              </w:pict>
            </w:r>
            <w:r>
              <w:rPr>
                <w:rFonts w:ascii="宋体" w:hAnsi="宋体" w:eastAsia="宋体" w:cs="宋体"/>
                <w:kern w:val="0"/>
                <w:sz w:val="24"/>
                <w:szCs w:val="24"/>
                <w:lang w:val="en-US" w:eastAsia="zh-CN" w:bidi="ar"/>
              </w:rPr>
              <w:pict>
                <v:shape id="_x0000_s1026" o:spid="_x0000_s1026" o:spt="75" alt="IMG_256" type="#_x0000_t75" style="position:absolute;left:0pt;margin-left:-0.05pt;margin-top:8.4pt;height:132.8pt;width:176.8pt;mso-wrap-distance-bottom:0pt;mso-wrap-distance-left:9pt;mso-wrap-distance-right:9pt;mso-wrap-distance-top:0pt;z-index:251658240;mso-width-relative:page;mso-height-relative:page;" filled="f" o:preferrelative="t" stroked="f" coordsize="21600,21600">
                  <v:path/>
                  <v:fill on="f" focussize="0,0"/>
                  <v:stroke on="f"/>
                  <v:imagedata r:id="rId5" o:title="IMG_256"/>
                  <o:lock v:ext="edit" aspectratio="t"/>
                  <w10:wrap type="square"/>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42" w:hRule="atLeast"/>
        </w:trPr>
        <w:tc>
          <w:tcPr>
            <w:tcW w:w="1515" w:type="dxa"/>
            <w:vAlign w:val="center"/>
          </w:tcPr>
          <w:p>
            <w:pPr>
              <w:jc w:val="center"/>
              <w:rPr>
                <w:b/>
                <w:bCs/>
              </w:rPr>
            </w:pPr>
            <w:r>
              <w:rPr>
                <w:rFonts w:hint="eastAsia"/>
                <w:b/>
                <w:bCs/>
              </w:rPr>
              <w:t>活动过程</w:t>
            </w:r>
          </w:p>
          <w:p>
            <w:pPr>
              <w:jc w:val="center"/>
              <w:rPr>
                <w:b/>
                <w:bCs/>
              </w:rPr>
            </w:pPr>
            <w:r>
              <w:rPr>
                <w:rFonts w:hint="eastAsia"/>
                <w:b/>
                <w:bCs/>
              </w:rPr>
              <w:t>观察分析</w:t>
            </w:r>
          </w:p>
          <w:p>
            <w:pPr>
              <w:jc w:val="center"/>
            </w:pPr>
            <w:r>
              <w:rPr>
                <w:rFonts w:hint="eastAsia"/>
              </w:rPr>
              <w:t>（重点指向语言、艺术、行为方面的发展）</w:t>
            </w:r>
          </w:p>
        </w:tc>
        <w:tc>
          <w:tcPr>
            <w:tcW w:w="7351" w:type="dxa"/>
            <w:gridSpan w:val="5"/>
          </w:tcPr>
          <w:p>
            <w:pPr>
              <w:spacing w:line="360" w:lineRule="auto"/>
              <w:rPr>
                <w:rFonts w:hint="eastAsia" w:eastAsia="宋体"/>
                <w:lang w:eastAsia="zh-CN"/>
              </w:rPr>
            </w:pPr>
            <w:r>
              <w:rPr>
                <w:rFonts w:hint="eastAsia"/>
                <w:lang w:val="en-US" w:eastAsia="zh-CN"/>
              </w:rPr>
              <w:t xml:space="preserve">    </w:t>
            </w:r>
            <w:r>
              <w:rPr>
                <w:rFonts w:hint="eastAsia"/>
                <w:lang w:eastAsia="zh-CN"/>
              </w:rPr>
              <w:t>根据目标幼儿两次完整朗诵童谣的不同表现来看，第一次：普通话朗诵；很自信，声音响亮，朗诵完整，第二次：方言朗诵，声音时高时低，眼神游离，朗诵断断续续，说明该幼儿对于童谣的内容已经了解和掌握但是对于方言诵童谣比较生疏，经了解该幼儿是外地孩子，平时缺乏说方言的语言环境，所以该幼儿对于常州方言送童谣较有压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2" w:hRule="atLeast"/>
        </w:trPr>
        <w:tc>
          <w:tcPr>
            <w:tcW w:w="1515" w:type="dxa"/>
            <w:vAlign w:val="center"/>
          </w:tcPr>
          <w:p>
            <w:pPr>
              <w:jc w:val="center"/>
            </w:pPr>
            <w:r>
              <w:rPr>
                <w:rFonts w:hint="eastAsia"/>
                <w:b/>
                <w:bCs/>
              </w:rPr>
              <w:t>改进措施</w:t>
            </w:r>
          </w:p>
        </w:tc>
        <w:tc>
          <w:tcPr>
            <w:tcW w:w="7351" w:type="dxa"/>
            <w:gridSpan w:val="5"/>
          </w:tcPr>
          <w:p>
            <w:r>
              <w:t xml:space="preserve">    </w:t>
            </w:r>
          </w:p>
          <w:p>
            <w:pPr>
              <w:numPr>
                <w:ilvl w:val="0"/>
                <w:numId w:val="1"/>
              </w:numPr>
              <w:rPr>
                <w:rFonts w:hint="eastAsia"/>
                <w:lang w:val="en-US" w:eastAsia="zh-CN"/>
              </w:rPr>
            </w:pPr>
            <w:r>
              <w:rPr>
                <w:rFonts w:hint="eastAsia"/>
                <w:lang w:val="en-US" w:eastAsia="zh-CN"/>
              </w:rPr>
              <w:t>如果条件允许的情况下建议教师整个教学活动都能用常州方言进行教学。</w:t>
            </w:r>
          </w:p>
          <w:p>
            <w:pPr>
              <w:numPr>
                <w:ilvl w:val="0"/>
                <w:numId w:val="1"/>
              </w:numPr>
              <w:rPr>
                <w:rFonts w:hint="eastAsia"/>
                <w:lang w:val="en-US" w:eastAsia="zh-CN"/>
              </w:rPr>
            </w:pPr>
            <w:r>
              <w:rPr>
                <w:rFonts w:hint="eastAsia"/>
                <w:lang w:val="en-US" w:eastAsia="zh-CN"/>
              </w:rPr>
              <w:t>教师的图谱的设计以及摆放的方式有待改进。</w:t>
            </w:r>
            <w:bookmarkStart w:id="0" w:name="_GoBack"/>
            <w:bookmarkEnd w:id="0"/>
          </w:p>
        </w:tc>
      </w:tr>
    </w:tbl>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8C362"/>
    <w:multiLevelType w:val="singleLevel"/>
    <w:tmpl w:val="5858C36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7EF"/>
    <w:rsid w:val="00183EB3"/>
    <w:rsid w:val="00186492"/>
    <w:rsid w:val="00266F66"/>
    <w:rsid w:val="003947EF"/>
    <w:rsid w:val="00A47D47"/>
    <w:rsid w:val="042D0042"/>
    <w:rsid w:val="05EE060F"/>
    <w:rsid w:val="21163CEB"/>
    <w:rsid w:val="24B37FB7"/>
    <w:rsid w:val="2B13435B"/>
    <w:rsid w:val="37F96102"/>
    <w:rsid w:val="38E52CA5"/>
    <w:rsid w:val="3A5D3162"/>
    <w:rsid w:val="3FD55E5D"/>
    <w:rsid w:val="463A1234"/>
    <w:rsid w:val="51325A5B"/>
    <w:rsid w:val="52AF34B4"/>
    <w:rsid w:val="52E6015F"/>
    <w:rsid w:val="571D6883"/>
    <w:rsid w:val="5F7647DB"/>
    <w:rsid w:val="626976A1"/>
    <w:rsid w:val="63FE583D"/>
    <w:rsid w:val="65844E4A"/>
    <w:rsid w:val="6760782A"/>
    <w:rsid w:val="6D6158CB"/>
    <w:rsid w:val="710C5C66"/>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uiPriority w:val="99"/>
  </w:style>
  <w:style w:type="table" w:default="1" w:styleId="3">
    <w:name w:val="Normal Table"/>
    <w:unhideWhenUsed/>
    <w:qFormat/>
    <w:uiPriority w:val="99"/>
    <w:tblPr>
      <w:tblLayout w:type="fixed"/>
      <w:tblCellMar>
        <w:top w:w="0" w:type="dxa"/>
        <w:left w:w="108" w:type="dxa"/>
        <w:bottom w:w="0" w:type="dxa"/>
        <w:right w:w="108" w:type="dxa"/>
      </w:tblCellMar>
    </w:tblPr>
  </w:style>
  <w:style w:type="table" w:styleId="4">
    <w:name w:val="Table Grid"/>
    <w:basedOn w:val="3"/>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Pages>
  <Words>131</Words>
  <Characters>749</Characters>
  <Lines>0</Lines>
  <Paragraphs>0</Paragraphs>
  <TotalTime>0</TotalTime>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2016-12-20T05:34:50Z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