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76" w:rsidRDefault="00D64876" w:rsidP="00D64876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雕幼</w:t>
      </w:r>
      <w:r w:rsidR="006B29DE">
        <w:rPr>
          <w:rFonts w:ascii="仿宋_GB2312" w:eastAsia="仿宋_GB2312" w:hint="eastAsia"/>
          <w:sz w:val="32"/>
        </w:rPr>
        <w:t>·</w:t>
      </w:r>
      <w:r>
        <w:rPr>
          <w:rFonts w:ascii="仿宋_GB2312" w:eastAsia="仿宋_GB2312" w:hint="eastAsia"/>
          <w:sz w:val="32"/>
        </w:rPr>
        <w:t>采菱园教科研活动情况登记表</w:t>
      </w:r>
    </w:p>
    <w:p w:rsidR="00D64876" w:rsidRDefault="00D64876" w:rsidP="00D64876">
      <w:pPr>
        <w:jc w:val="center"/>
        <w:rPr>
          <w:rFonts w:ascii="仿宋_GB2312" w:eastAsia="仿宋_GB2312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"/>
        <w:gridCol w:w="601"/>
        <w:gridCol w:w="697"/>
        <w:gridCol w:w="908"/>
        <w:gridCol w:w="1048"/>
        <w:gridCol w:w="2407"/>
        <w:gridCol w:w="1466"/>
        <w:gridCol w:w="2198"/>
      </w:tblGrid>
      <w:tr w:rsidR="00D64876" w:rsidTr="00F914E6">
        <w:trPr>
          <w:trHeight w:val="748"/>
          <w:jc w:val="center"/>
        </w:trPr>
        <w:tc>
          <w:tcPr>
            <w:tcW w:w="1149" w:type="dxa"/>
            <w:gridSpan w:val="2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605" w:type="dxa"/>
            <w:gridSpan w:val="2"/>
            <w:vAlign w:val="center"/>
          </w:tcPr>
          <w:p w:rsidR="00D64876" w:rsidRDefault="005D785E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2016.6.1</w:t>
            </w:r>
          </w:p>
        </w:tc>
        <w:tc>
          <w:tcPr>
            <w:tcW w:w="1048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2407" w:type="dxa"/>
            <w:vAlign w:val="center"/>
          </w:tcPr>
          <w:p w:rsidR="00D64876" w:rsidRDefault="005D785E" w:rsidP="00F914E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图书室</w:t>
            </w:r>
          </w:p>
        </w:tc>
        <w:tc>
          <w:tcPr>
            <w:tcW w:w="1466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2198" w:type="dxa"/>
            <w:vAlign w:val="center"/>
          </w:tcPr>
          <w:p w:rsidR="00D64876" w:rsidRDefault="005D785E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全体教师</w:t>
            </w:r>
          </w:p>
        </w:tc>
      </w:tr>
      <w:tr w:rsidR="00D64876" w:rsidTr="00F914E6">
        <w:trPr>
          <w:cantSplit/>
          <w:trHeight w:val="615"/>
          <w:jc w:val="center"/>
        </w:trPr>
        <w:tc>
          <w:tcPr>
            <w:tcW w:w="1149" w:type="dxa"/>
            <w:gridSpan w:val="2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605" w:type="dxa"/>
            <w:gridSpan w:val="2"/>
            <w:vAlign w:val="center"/>
          </w:tcPr>
          <w:p w:rsidR="00D64876" w:rsidRDefault="005D785E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景小卫</w:t>
            </w:r>
          </w:p>
        </w:tc>
        <w:tc>
          <w:tcPr>
            <w:tcW w:w="1048" w:type="dxa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6071" w:type="dxa"/>
            <w:gridSpan w:val="3"/>
            <w:vAlign w:val="center"/>
          </w:tcPr>
          <w:p w:rsidR="00D64876" w:rsidRDefault="005D785E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阅读、分享、评价</w:t>
            </w:r>
          </w:p>
        </w:tc>
      </w:tr>
      <w:tr w:rsidR="00D64876" w:rsidTr="00F914E6">
        <w:trPr>
          <w:trHeight w:val="1577"/>
          <w:jc w:val="center"/>
        </w:trPr>
        <w:tc>
          <w:tcPr>
            <w:tcW w:w="1846" w:type="dxa"/>
            <w:gridSpan w:val="3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（范围、方法）</w:t>
            </w:r>
          </w:p>
        </w:tc>
        <w:tc>
          <w:tcPr>
            <w:tcW w:w="8027" w:type="dxa"/>
            <w:gridSpan w:val="5"/>
            <w:vAlign w:val="center"/>
          </w:tcPr>
          <w:p w:rsidR="00D64876" w:rsidRPr="005D785E" w:rsidRDefault="005D785E" w:rsidP="005D785E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通过大家共同分享自己</w:t>
            </w:r>
            <w:r w:rsidRPr="005D785E">
              <w:rPr>
                <w:rFonts w:ascii="仿宋_GB2312" w:eastAsia="仿宋_GB2312" w:hint="eastAsia"/>
              </w:rPr>
              <w:t>阅读</w:t>
            </w:r>
            <w:r>
              <w:rPr>
                <w:rFonts w:ascii="仿宋_GB2312" w:eastAsia="仿宋_GB2312" w:hint="eastAsia"/>
              </w:rPr>
              <w:t>的游戏</w:t>
            </w:r>
            <w:r w:rsidRPr="005D785E">
              <w:rPr>
                <w:rFonts w:ascii="仿宋_GB2312" w:eastAsia="仿宋_GB2312" w:hint="eastAsia"/>
              </w:rPr>
              <w:t>书籍，</w:t>
            </w:r>
            <w:r>
              <w:rPr>
                <w:rFonts w:ascii="仿宋_GB2312" w:eastAsia="仿宋_GB2312" w:hint="eastAsia"/>
              </w:rPr>
              <w:t>进一步把握游戏精髓，指导和帮助大家做一个</w:t>
            </w:r>
            <w:r w:rsidRPr="005D785E">
              <w:rPr>
                <w:rFonts w:ascii="仿宋_GB2312" w:eastAsia="仿宋_GB2312" w:hint="eastAsia"/>
              </w:rPr>
              <w:t>会游戏的教师</w:t>
            </w:r>
            <w:r>
              <w:rPr>
                <w:rFonts w:ascii="仿宋_GB2312" w:eastAsia="仿宋_GB2312" w:hint="eastAsia"/>
              </w:rPr>
              <w:t>，提高教师的专业水平。</w:t>
            </w:r>
          </w:p>
        </w:tc>
      </w:tr>
      <w:tr w:rsidR="00D64876" w:rsidTr="00F914E6">
        <w:trPr>
          <w:cantSplit/>
          <w:trHeight w:val="7157"/>
          <w:jc w:val="center"/>
        </w:trPr>
        <w:tc>
          <w:tcPr>
            <w:tcW w:w="548" w:type="dxa"/>
            <w:textDirection w:val="tbRlV"/>
            <w:vAlign w:val="center"/>
          </w:tcPr>
          <w:p w:rsidR="00D64876" w:rsidRDefault="00D64876" w:rsidP="00F914E6">
            <w:pPr>
              <w:ind w:left="113" w:right="113"/>
              <w:jc w:val="center"/>
              <w:rPr>
                <w:rFonts w:ascii="仿宋_GB2312" w:eastAsia="仿宋_GB2312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主要内容（不够填写另附纸）</w:t>
            </w:r>
          </w:p>
        </w:tc>
        <w:tc>
          <w:tcPr>
            <w:tcW w:w="9325" w:type="dxa"/>
            <w:gridSpan w:val="7"/>
            <w:vAlign w:val="center"/>
          </w:tcPr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★教师分享自己读书心得：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1.王文娇：《幼儿角色游戏的教师有效策略》教师唯有通过观察、分析，才能了解孩子，才能满足幼儿成长的需要。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2.吴丹：《例谈幼儿在角色中的创新意识》小案例，教师在角色游戏中提供百宝箱，教师要将幼儿的角色意识引入更深。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3.季丽蓉：《幼儿角色游戏交流分享环节的组织方法》引导幼儿对游戏过程进行回顾、评价，有情景再现法、问题讨论法、同伴互评（适合中大班幼儿）等方法。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4.赵红霞：《关注游荡幼儿，提供适宜支持》角色游戏中有不愿意参与的幼儿，通过案例分析（凯凯），第一部分分析游荡的原因（幼儿原因：兴趣、注意力。教师原因：全面了解孩子，给出措施，反思，互动方式）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5.倪芳：《指导幼儿开展自主游戏的五大行动》游戏要自主自由，如何落实在行动中？文中介绍了：自主建构（我的地盘我做主）、自主选择（我的角色我做主）、自主操作（我的材料我做主）、自主策划（我的主题我做主）、自主表达（我的讲评我做主）进行引领，对老师们开展自主游戏具有参考价值。</w:t>
            </w:r>
          </w:p>
          <w:p w:rsidR="00D64876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6.</w:t>
            </w:r>
            <w:r>
              <w:rPr>
                <w:rFonts w:ascii="仿宋_GB2312" w:eastAsia="仿宋_GB2312" w:hint="eastAsia"/>
              </w:rPr>
              <w:t>濮</w:t>
            </w:r>
            <w:r w:rsidRPr="005D785E">
              <w:rPr>
                <w:rFonts w:ascii="仿宋_GB2312" w:eastAsia="仿宋_GB2312" w:hint="eastAsia"/>
              </w:rPr>
              <w:t>建秋：《利用创意戏剧营造大班幼儿故事创编的有效空间》剧本创编为例子，我们开始表演时存在故事情节简单角色比较少，文中写了几种策略：1.基于日常课程的经验创编2.基于头脑风暴的发散想象创编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7.居海燕：《走进游戏、走进幼儿》（环境材料）理念：基于兴趣、满足需要、激发挑战。逼真、养眼，激发兴趣、重复利用。教师可以围绕热点话题提供相关材料。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8.景小卫：《任务式大区域的实践与探索》（孤岛求生案例）问题与策略：添加材料，提升任务挑战性。减少材料，提升材料的多元性。观察先行、图标暗示、家长参与。感悟：关注幼儿、材料策略根据、推进游戏、活动分享。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9．顾婷嫣：《欧欧只演坏皇后》针对幼儿一直表演一个角色进行分析、解读，每个讨论都是一个有趣的观察记录。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10.姚怡君：《游戏中的师为“伴”》教师的角色定位，以走进幼儿的心灵世界。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11.童武璞：《幼儿园表演活动》改以前高控游戏1.表演内容的建构。2.表演空间的建构（表演区、表演场）3.表演游戏的开展。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12.谢婧：《游戏中教师的无为与有为》对于介入的困惑，明晰“无为和有为”的价值和辩证关系，以案例来说明。</w:t>
            </w:r>
          </w:p>
          <w:p w:rsidR="005D785E" w:rsidRPr="005D785E" w:rsidRDefault="005D785E" w:rsidP="005D785E">
            <w:pPr>
              <w:spacing w:line="320" w:lineRule="exact"/>
              <w:jc w:val="left"/>
              <w:rPr>
                <w:rFonts w:ascii="仿宋_GB2312" w:eastAsia="仿宋_GB2312"/>
              </w:rPr>
            </w:pPr>
            <w:r w:rsidRPr="005D785E">
              <w:rPr>
                <w:rFonts w:ascii="仿宋_GB2312" w:eastAsia="仿宋_GB2312" w:hint="eastAsia"/>
              </w:rPr>
              <w:t>13.顾梦婷:《如何有效实施幼儿园主题性区域活动》1.把握汇报难度2.提供材料3.教师的指导</w:t>
            </w:r>
          </w:p>
        </w:tc>
      </w:tr>
      <w:tr w:rsidR="00D64876" w:rsidTr="00F914E6">
        <w:trPr>
          <w:cantSplit/>
          <w:trHeight w:val="7157"/>
          <w:jc w:val="center"/>
        </w:trPr>
        <w:tc>
          <w:tcPr>
            <w:tcW w:w="548" w:type="dxa"/>
            <w:textDirection w:val="tbRlV"/>
            <w:vAlign w:val="center"/>
          </w:tcPr>
          <w:p w:rsidR="00D64876" w:rsidRDefault="00D64876" w:rsidP="00F914E6">
            <w:pPr>
              <w:ind w:left="113" w:right="113"/>
              <w:jc w:val="center"/>
              <w:rPr>
                <w:rFonts w:ascii="仿宋_GB2312" w:eastAsia="仿宋_GB2312"/>
                <w:spacing w:val="40"/>
              </w:rPr>
            </w:pPr>
          </w:p>
        </w:tc>
        <w:tc>
          <w:tcPr>
            <w:tcW w:w="9325" w:type="dxa"/>
            <w:gridSpan w:val="7"/>
            <w:vAlign w:val="center"/>
          </w:tcPr>
          <w:p w:rsidR="005D785E" w:rsidRPr="005D785E" w:rsidRDefault="005D785E" w:rsidP="005D785E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14.奚秋艳：《把游戏还给孩子》存在困惑1.教师要不要教。2.环境如何创设。3.教师如何进行指导。从文中提供方案。</w:t>
            </w:r>
          </w:p>
          <w:p w:rsidR="005D785E" w:rsidRPr="005D785E" w:rsidRDefault="005D785E" w:rsidP="005D785E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15.杨丞琳：《孩子是天我是云》教学案例，针对每次教学活动写的应对和策略。书中也有关于游戏的案例：孩子的学习是围绕经验而展开的，促进孩子的有效学习。</w:t>
            </w:r>
          </w:p>
          <w:p w:rsidR="005D785E" w:rsidRPr="005D785E" w:rsidRDefault="005D785E" w:rsidP="005D785E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16.王宝秀：《因建构而精彩、因游戏而快乐》从三方面讲述建构经验。</w:t>
            </w:r>
          </w:p>
          <w:p w:rsidR="005D785E" w:rsidRPr="005D785E" w:rsidRDefault="005D785E" w:rsidP="005D785E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17.胡双：《游戏精神比游戏形式更重要》：课程游戏化的大趋势下，我们有些盲目跟风。坚守儿童出发、坚守扎根生活。</w:t>
            </w:r>
          </w:p>
          <w:p w:rsidR="005D785E" w:rsidRPr="005D785E" w:rsidRDefault="005D785E" w:rsidP="005D785E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18.顾雪华：《建构室的空间布局和材料提供》空间布局（增添辅助材料区、单元结构区）、材料提供（根据年龄段分类）</w:t>
            </w:r>
          </w:p>
          <w:p w:rsidR="005D785E" w:rsidRPr="005D785E" w:rsidRDefault="005D785E" w:rsidP="005D785E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19.张君：《儿童游戏在游戏中成长》四个部分，有案例，有分析成功。</w:t>
            </w:r>
          </w:p>
          <w:p w:rsidR="005D785E" w:rsidRPr="005D785E" w:rsidRDefault="005D785E" w:rsidP="005D785E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20.史银华：《大型建构游戏中教师的指导》案例描述、案例分析与建议。如：如何丰富经验，如何提高技能。让孩子在自由自主中发展建构技能。</w:t>
            </w:r>
          </w:p>
          <w:p w:rsidR="005D785E" w:rsidRPr="005D785E" w:rsidRDefault="005D785E" w:rsidP="005D785E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21.宋丹枫：《如何有效提高幼儿积木建构活动的效果》从建构游戏的方案设计开始，体现幼儿游戏性、主题性、主体性等特点，和我们开展青阳高架时也有相似。</w:t>
            </w:r>
          </w:p>
          <w:p w:rsidR="005D785E" w:rsidRPr="005D785E" w:rsidRDefault="005D785E" w:rsidP="005D785E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22.史文平：《浅谈小班建构游戏中材料的投放》对于新老师开展建构游戏有一定参考：1.符合幼儿年龄特点。2.材料的投放要有层次性。3.与主题相结合4.要有利废性。5.根据游戏情节不断投放相应材料。</w:t>
            </w:r>
          </w:p>
          <w:p w:rsidR="005D785E" w:rsidRPr="005D785E" w:rsidRDefault="005D785E" w:rsidP="005D785E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5D785E">
              <w:rPr>
                <w:rFonts w:ascii="仿宋_GB2312" w:eastAsia="仿宋_GB2312" w:hint="eastAsia"/>
              </w:rPr>
              <w:t>23.周琳：《幼儿建构游戏中教师有效指导策略的研究》教师的态度影响幼儿，从丰富经验、创设环境、游戏后的分析等写了教师的指导策略，我们班的建构游戏中就存在和文中一样的案例。</w:t>
            </w:r>
          </w:p>
          <w:p w:rsidR="00D64876" w:rsidRPr="005D785E" w:rsidRDefault="00D64876" w:rsidP="005D785E">
            <w:pPr>
              <w:spacing w:line="360" w:lineRule="exact"/>
              <w:jc w:val="left"/>
              <w:rPr>
                <w:rFonts w:ascii="仿宋_GB2312" w:eastAsia="仿宋_GB2312"/>
              </w:rPr>
            </w:pPr>
          </w:p>
        </w:tc>
      </w:tr>
      <w:tr w:rsidR="00D64876" w:rsidTr="005D785E">
        <w:trPr>
          <w:trHeight w:val="1717"/>
          <w:jc w:val="center"/>
        </w:trPr>
        <w:tc>
          <w:tcPr>
            <w:tcW w:w="548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评</w:t>
            </w:r>
          </w:p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</w:p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价</w:t>
            </w:r>
          </w:p>
        </w:tc>
        <w:tc>
          <w:tcPr>
            <w:tcW w:w="9325" w:type="dxa"/>
            <w:gridSpan w:val="7"/>
          </w:tcPr>
          <w:p w:rsidR="00D64876" w:rsidRDefault="00D64876" w:rsidP="005D785E">
            <w:pPr>
              <w:spacing w:line="36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 w:rsidR="005D785E" w:rsidRPr="005D785E">
              <w:rPr>
                <w:rFonts w:ascii="仿宋_GB2312" w:eastAsia="仿宋_GB2312" w:hint="eastAsia"/>
              </w:rPr>
              <w:t>从老师的分享中，可以看出我们学习的文章还是很有价值的，有的老师还能结合自己游戏的开展进行讲述，漂书活动有意义、有收获。</w:t>
            </w:r>
            <w:r w:rsidR="005D785E">
              <w:rPr>
                <w:rFonts w:ascii="仿宋_GB2312" w:eastAsia="仿宋_GB2312" w:hint="eastAsia"/>
              </w:rPr>
              <w:t>希望后续</w:t>
            </w:r>
            <w:r w:rsidR="005D785E" w:rsidRPr="005D785E">
              <w:rPr>
                <w:rFonts w:ascii="仿宋_GB2312" w:eastAsia="仿宋_GB2312" w:hint="eastAsia"/>
              </w:rPr>
              <w:t>老师们围绕课题游戏方面展开分享，特别是角色组、建构组的老师要在（材料、自主方面）后续进行思考。读书分享和撰写论文方面以后可以结合起来，希望老师们从书海中汲取营养，在读书中积累一定的理论功底。</w:t>
            </w:r>
          </w:p>
        </w:tc>
      </w:tr>
    </w:tbl>
    <w:p w:rsidR="00D64876" w:rsidRDefault="00D64876" w:rsidP="00D64876">
      <w:pPr>
        <w:ind w:firstLineChars="2562" w:firstLine="6149"/>
        <w:rPr>
          <w:rFonts w:ascii="仿宋_GB2312" w:eastAsia="仿宋_GB2312"/>
          <w:sz w:val="24"/>
        </w:rPr>
      </w:pPr>
    </w:p>
    <w:p w:rsidR="00D64876" w:rsidRDefault="00D64876" w:rsidP="00D64876">
      <w:pPr>
        <w:jc w:val="center"/>
      </w:pPr>
      <w:r>
        <w:rPr>
          <w:rFonts w:ascii="仿宋_GB2312" w:eastAsia="仿宋_GB2312" w:hint="eastAsia"/>
          <w:sz w:val="24"/>
        </w:rPr>
        <w:t xml:space="preserve">　　　　　　　　　　　　　　填表人</w:t>
      </w:r>
      <w:r>
        <w:rPr>
          <w:rFonts w:ascii="仿宋_GB2312" w:eastAsia="仿宋_GB2312" w:hint="eastAsia"/>
          <w:sz w:val="24"/>
          <w:u w:val="single"/>
        </w:rPr>
        <w:t xml:space="preserve">  　</w:t>
      </w:r>
      <w:r w:rsidR="005D785E">
        <w:rPr>
          <w:rFonts w:ascii="仿宋_GB2312" w:eastAsia="仿宋_GB2312" w:hint="eastAsia"/>
          <w:sz w:val="24"/>
          <w:u w:val="single"/>
        </w:rPr>
        <w:t>倪芳</w:t>
      </w:r>
      <w:r>
        <w:rPr>
          <w:rFonts w:ascii="仿宋_GB2312" w:eastAsia="仿宋_GB2312" w:hint="eastAsia"/>
          <w:sz w:val="24"/>
          <w:u w:val="single"/>
        </w:rPr>
        <w:t xml:space="preserve">　　　    　    </w:t>
      </w:r>
    </w:p>
    <w:p w:rsidR="00D64876" w:rsidRDefault="00D64876" w:rsidP="00D64876"/>
    <w:p w:rsidR="00D64876" w:rsidRPr="007513AA" w:rsidRDefault="00D64876" w:rsidP="00D64876"/>
    <w:p w:rsidR="003A4CE9" w:rsidRDefault="003A4CE9"/>
    <w:sectPr w:rsidR="003A4CE9" w:rsidSect="0078483D">
      <w:footerReference w:type="even" r:id="rId6"/>
      <w:footerReference w:type="default" r:id="rId7"/>
      <w:pgSz w:w="11907" w:h="16840"/>
      <w:pgMar w:top="1418" w:right="1701" w:bottom="1418" w:left="1701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EC4" w:rsidRDefault="00FA5EC4" w:rsidP="0078483D">
      <w:r>
        <w:separator/>
      </w:r>
    </w:p>
  </w:endnote>
  <w:endnote w:type="continuationSeparator" w:id="1">
    <w:p w:rsidR="00FA5EC4" w:rsidRDefault="00FA5EC4" w:rsidP="00784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83D" w:rsidRDefault="0078483D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B29DE">
      <w:rPr>
        <w:rStyle w:val="a3"/>
      </w:rPr>
      <w:instrText xml:space="preserve">PAGE  </w:instrText>
    </w:r>
    <w:r>
      <w:fldChar w:fldCharType="separate"/>
    </w:r>
    <w:r w:rsidR="006B29DE">
      <w:rPr>
        <w:rStyle w:val="a3"/>
      </w:rPr>
      <w:t>- 2 -</w:t>
    </w:r>
    <w:r>
      <w:fldChar w:fldCharType="end"/>
    </w:r>
  </w:p>
  <w:p w:rsidR="0078483D" w:rsidRDefault="007848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83D" w:rsidRDefault="0078483D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B29DE">
      <w:rPr>
        <w:rStyle w:val="a3"/>
      </w:rPr>
      <w:instrText xml:space="preserve">PAGE  </w:instrText>
    </w:r>
    <w:r>
      <w:fldChar w:fldCharType="separate"/>
    </w:r>
    <w:r w:rsidR="005D785E">
      <w:rPr>
        <w:rStyle w:val="a3"/>
        <w:noProof/>
      </w:rPr>
      <w:t>- 2 -</w:t>
    </w:r>
    <w:r>
      <w:fldChar w:fldCharType="end"/>
    </w:r>
  </w:p>
  <w:p w:rsidR="0078483D" w:rsidRDefault="007848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EC4" w:rsidRDefault="00FA5EC4" w:rsidP="0078483D">
      <w:r>
        <w:separator/>
      </w:r>
    </w:p>
  </w:footnote>
  <w:footnote w:type="continuationSeparator" w:id="1">
    <w:p w:rsidR="00FA5EC4" w:rsidRDefault="00FA5EC4" w:rsidP="007848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876"/>
    <w:rsid w:val="003A4CE9"/>
    <w:rsid w:val="005D785E"/>
    <w:rsid w:val="006B29DE"/>
    <w:rsid w:val="0078483D"/>
    <w:rsid w:val="00D64876"/>
    <w:rsid w:val="00FA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4876"/>
    <w:rPr>
      <w:rFonts w:ascii="黑体" w:eastAsia="黑体" w:hAnsi="Verdana"/>
      <w:b/>
      <w:kern w:val="0"/>
      <w:sz w:val="36"/>
      <w:szCs w:val="36"/>
    </w:rPr>
  </w:style>
  <w:style w:type="paragraph" w:styleId="a4">
    <w:name w:val="footer"/>
    <w:basedOn w:val="a"/>
    <w:link w:val="Char"/>
    <w:rsid w:val="00D648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D64876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5D7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D78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jingxiaowei</cp:lastModifiedBy>
  <cp:revision>3</cp:revision>
  <dcterms:created xsi:type="dcterms:W3CDTF">2015-12-10T05:51:00Z</dcterms:created>
  <dcterms:modified xsi:type="dcterms:W3CDTF">2016-06-02T05:50:00Z</dcterms:modified>
</cp:coreProperties>
</file>